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BF9000" w:sz="8"/>
          <w:left w:val="single" w:color="BF9000" w:sz="8"/>
          <w:bottom w:val="single" w:color="BF9000" w:sz="8"/>
          <w:right w:val="single" w:color="BF9000" w:sz="8"/>
          <w:insideH w:val="single" w:color="BF9000" w:sz="8"/>
          <w:insideV w:val="single" w:color="BF9000" w:sz="8"/>
        </w:tblBorders>
      </w:tblPr>
      <w:tblGrid>
        <w:gridCol w:w="9360"/>
      </w:tblGrid>
      <w:tr>
        <w:trPr>
          <w:cantSplit/>
        </w:trPr>
        <w:tc>
          <w:tcPr>
            <w:tcW w:type="dxa" w:w="9360"/>
            <w:shd w:fill="FFF2CC" w:color="auto" w:val="clear"/>
            <w:tcMar>
              <w:top w:type="dxa" w:w="120"/>
              <w:left w:type="dxa" w:w="160"/>
              <w:bottom w:type="dxa" w:w="120"/>
              <w:right w:type="dxa" w:w="160"/>
            </w:tcMar>
          </w:tcPr>
          <w:p>
            <w:pPr>
              <w:spacing w:after="80"/>
            </w:pPr>
            <w:r>
              <w:rPr>
                <w:b/>
                <w:bCs/>
                <w:color w:val="1F3864"/>
                <w:sz w:val="20"/>
                <w:szCs w:val="20"/>
              </w:rPr>
              <w:t xml:space="preserve">Before you submit — then delete this box</w:t>
            </w:r>
          </w:p>
          <w:p>
            <w:pPr>
              <w:pStyle w:val="ListParagraph"/>
              <w:numPr>
                <w:ilvl w:val="0"/>
                <w:numId w:val="2"/>
              </w:numPr>
              <w:spacing w:after="40"/>
            </w:pPr>
            <w:r>
              <w:rPr>
                <w:sz w:val="19"/>
                <w:szCs w:val="19"/>
              </w:rPr>
              <w:t xml:space="preserve">Delete every yellow placeholder and every gray instruction line, and this box.</w:t>
            </w:r>
          </w:p>
          <w:p>
            <w:pPr>
              <w:pStyle w:val="ListParagraph"/>
              <w:numPr>
                <w:ilvl w:val="0"/>
                <w:numId w:val="2"/>
              </w:numPr>
              <w:spacing w:after="40"/>
            </w:pPr>
            <w:r>
              <w:rPr>
                <w:sz w:val="19"/>
                <w:szCs w:val="19"/>
              </w:rPr>
              <w:t xml:space="preserve">Name your reviewer, add the sentence on what you changed, and paste their stamp image below.</w:t>
            </w:r>
          </w:p>
          <w:p>
            <w:pPr>
              <w:pStyle w:val="ListParagraph"/>
              <w:numPr>
                <w:ilvl w:val="0"/>
                <w:numId w:val="2"/>
              </w:numPr>
              <w:spacing w:after="40"/>
            </w:pPr>
            <w:r>
              <w:rPr>
                <w:sz w:val="19"/>
                <w:szCs w:val="19"/>
              </w:rPr>
              <w:t xml:space="preserve">Figure 1 is the model exported from ModelBuilder (Export ▸ Export To Graphic, as PNG) — not a screen capture, and not redrawn or “enhanced” by AI.</w:t>
            </w:r>
          </w:p>
          <w:p>
            <w:pPr>
              <w:pStyle w:val="ListParagraph"/>
              <w:numPr>
                <w:ilvl w:val="0"/>
                <w:numId w:val="2"/>
              </w:numPr>
              <w:spacing w:after="40"/>
            </w:pPr>
            <w:r>
              <w:rPr>
                <w:sz w:val="19"/>
                <w:szCs w:val="19"/>
              </w:rPr>
              <w:t xml:space="preserve">Every number in your tables and text comes from your own work in ArcGIS Pro.</w:t>
            </w:r>
          </w:p>
          <w:p>
            <w:pPr>
              <w:pStyle w:val="ListParagraph"/>
              <w:numPr>
                <w:ilvl w:val="0"/>
                <w:numId w:val="2"/>
              </w:numPr>
              <w:spacing w:after="40"/>
            </w:pPr>
            <w:r>
              <w:rPr>
                <w:sz w:val="19"/>
                <w:szCs w:val="19"/>
              </w:rPr>
              <w:t xml:space="preserve">Put a score in every row of the Self-Graded Rubric, and the total.</w:t>
            </w:r>
          </w:p>
          <w:p>
            <w:pPr>
              <w:pStyle w:val="ListParagraph"/>
              <w:numPr>
                <w:ilvl w:val="0"/>
                <w:numId w:val="2"/>
              </w:numPr>
              <w:spacing w:after="40"/>
            </w:pPr>
            <w:r>
              <w:rPr>
                <w:sz w:val="19"/>
                <w:szCs w:val="19"/>
              </w:rPr>
              <w:t xml:space="preserve">Save as PDF, then open the PDF and check that every figure and map came through readable.</w:t>
            </w:r>
          </w:p>
        </w:tc>
      </w:tr>
    </w:tbl>
    <w:p>
      <w:pPr>
        <w:spacing w:before="900"/>
      </w:pPr>
    </w:p>
    <w:p>
      <w:pPr>
        <w:spacing w:after="100"/>
        <w:jc w:val="center"/>
      </w:pPr>
      <w:r>
        <w:rPr>
          <w:b/>
          <w:bCs/>
          <w:color w:val="1F3864"/>
          <w:sz w:val="48"/>
          <w:szCs w:val="48"/>
        </w:rPr>
        <w:t xml:space="preserve">Lab 2: NDVI</w:t>
      </w:r>
    </w:p>
    <w:p>
      <w:pPr>
        <w:spacing w:after="420"/>
        <w:jc w:val="center"/>
      </w:pPr>
      <w:r>
        <w:rPr>
          <w:color w:val="1F3864"/>
          <w:sz w:val="32"/>
          <w:szCs w:val="32"/>
        </w:rPr>
        <w:t xml:space="preserve">Classifying Land Based on NDVI</w:t>
      </w:r>
    </w:p>
    <w:p>
      <w:pPr>
        <w:spacing w:after="60"/>
        <w:jc w:val="center"/>
      </w:pPr>
      <w:r>
        <w:rPr>
          <w:sz w:val="24"/>
          <w:szCs w:val="24"/>
        </w:rPr>
        <w:t xml:space="preserve">CE 414 — Engineering Applications of GIS</w:t>
      </w:r>
    </w:p>
    <w:p>
      <w:pPr>
        <w:spacing w:after="600"/>
        <w:jc w:val="center"/>
      </w:pPr>
      <w:r>
        <w:rPr>
          <w:color w:val="767171"/>
          <w:sz w:val="24"/>
          <w:szCs w:val="24"/>
        </w:rPr>
        <w:t xml:space="preserve">Fall 2026 · Dr. Dan Ames</w:t>
      </w:r>
    </w:p>
    <w:p>
      <w:pPr>
        <w:spacing w:after="120" w:before="0"/>
        <w:jc w:val="center"/>
      </w:pPr>
      <w:r>
        <w:rPr>
          <w:b/>
          <w:bCs/>
          <w:color w:val="1F3864"/>
          <w:sz w:val="21"/>
          <w:szCs w:val="21"/>
        </w:rPr>
        <w:t xml:space="preserve">Your name:  </w:t>
      </w:r>
      <w:r>
        <w:rPr>
          <w:i/>
          <w:iCs/>
          <w:color w:val="767171"/>
          <w:sz w:val="21"/>
          <w:szCs w:val="21"/>
          <w:highlight w:val="yellow"/>
        </w:rPr>
        <w:t xml:space="preserve">[your name]</w:t>
      </w:r>
    </w:p>
    <w:p>
      <w:pPr>
        <w:spacing w:after="120" w:before="0"/>
        <w:jc w:val="center"/>
      </w:pPr>
      <w:r>
        <w:rPr>
          <w:b/>
          <w:bCs/>
          <w:color w:val="1F3864"/>
          <w:sz w:val="21"/>
          <w:szCs w:val="21"/>
        </w:rPr>
        <w:t xml:space="preserve">Date submitted:  </w:t>
      </w:r>
      <w:r>
        <w:rPr>
          <w:i/>
          <w:iCs/>
          <w:color w:val="767171"/>
          <w:sz w:val="21"/>
          <w:szCs w:val="21"/>
          <w:highlight w:val="yellow"/>
        </w:rPr>
        <w:t xml:space="preserve">[date]</w:t>
      </w:r>
    </w:p>
    <w:p>
      <w:pPr>
        <w:spacing w:after="120" w:before="0"/>
        <w:jc w:val="center"/>
      </w:pPr>
      <w:r>
        <w:rPr>
          <w:b/>
          <w:bCs/>
          <w:color w:val="1F3864"/>
          <w:sz w:val="21"/>
          <w:szCs w:val="21"/>
        </w:rPr>
        <w:t xml:space="preserve">Peer reviewer:  </w:t>
      </w:r>
      <w:r>
        <w:rPr>
          <w:i/>
          <w:iCs/>
          <w:color w:val="767171"/>
          <w:sz w:val="21"/>
          <w:szCs w:val="21"/>
          <w:highlight w:val="yellow"/>
        </w:rPr>
        <w:t xml:space="preserve">[reviewer’s name]</w:t>
      </w:r>
    </w:p>
    <w:p>
      <w:pPr>
        <w:spacing w:after="400" w:before="60"/>
        <w:jc w:val="center"/>
      </w:pPr>
      <w:r>
        <w:rPr>
          <w:i/>
          <w:iCs/>
          <w:color w:val="767171"/>
          <w:sz w:val="21"/>
          <w:szCs w:val="21"/>
          <w:highlight w:val="yellow"/>
        </w:rPr>
        <w:t xml:space="preserve">[One sentence on what you changed because of your reviewer’s feedback.]</w:t>
      </w:r>
    </w:p>
    <w:p>
      <w:pPr>
        <w:jc w:val="center"/>
      </w:pPr>
      <w:r>
        <w:rPr>
          <w:i/>
          <w:iCs/>
          <w:color w:val="767171"/>
          <w:sz w:val="19"/>
          <w:szCs w:val="19"/>
          <w:highlight w:val="yellow"/>
        </w:rPr>
        <w:t xml:space="preserve">[ Paste your reviewer’s stamp image here ]</w:t>
      </w:r>
    </w:p>
    <w:p>
      <w:r>
        <w:br w:type="page"/>
      </w:r>
    </w:p>
    <w:p>
      <w:pPr>
        <w:pStyle w:val="Heading1"/>
        <w:spacing w:after="80" w:before="280"/>
      </w:pPr>
      <w:r>
        <w:rPr>
          <w:b/>
          <w:bCs/>
          <w:color w:val="1F3864"/>
          <w:sz w:val="28"/>
          <w:szCs w:val="28"/>
        </w:rPr>
        <w:t xml:space="preserve">1.  Requirements and Approach</w:t>
      </w:r>
    </w:p>
    <w:p>
      <w:pPr>
        <w:spacing w:after="160" w:before="60"/>
      </w:pPr>
      <w:r>
        <w:rPr>
          <w:i/>
          <w:iCs/>
          <w:color w:val="767171"/>
          <w:sz w:val="19"/>
          <w:szCs w:val="19"/>
        </w:rPr>
        <w:t xml:space="preserve">Rubric: the requirements of the project and your approach to solving it, in your own words (2 points). Two or three paragraphs. Say what you were asked to produce and how you went about it — not a retelling of the step-by-step.</w:t>
      </w:r>
    </w:p>
    <w:p>
      <w:pPr>
        <w:spacing w:after="260" w:before="0"/>
      </w:pPr>
      <w:r>
        <w:rPr>
          <w:i/>
          <w:iCs/>
          <w:color w:val="767171"/>
          <w:highlight w:val="yellow"/>
        </w:rPr>
        <w:t xml:space="preserve">[Add your content here.]</w:t>
      </w:r>
    </w:p>
    <w:p>
      <w:pPr>
        <w:pStyle w:val="Heading1"/>
        <w:spacing w:after="80" w:before="280"/>
      </w:pPr>
      <w:r>
        <w:rPr>
          <w:b/>
          <w:bCs/>
          <w:color w:val="1F3864"/>
          <w:sz w:val="28"/>
          <w:szCs w:val="28"/>
        </w:rPr>
        <w:t xml:space="preserve">2.  Data and Scene Metadata</w:t>
      </w:r>
    </w:p>
    <w:p>
      <w:pPr>
        <w:spacing w:after="160" w:before="60"/>
      </w:pPr>
      <w:r>
        <w:rPr>
          <w:i/>
          <w:iCs/>
          <w:color w:val="767171"/>
          <w:sz w:val="19"/>
          <w:szCs w:val="19"/>
        </w:rPr>
        <w:t xml:space="preserve">Rubric: the three MTL values — acquisition date, cloud cover and the reflectance offset — and what each one means for your result (2 points). Fill the table, then add a sentence on anything the numbers change about how far you trust the answer.</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2400"/>
        <w:gridCol w:w="4760"/>
      </w:tblGrid>
      <w:tr>
        <w:trPr>
          <w:cantSplit/>
          <w:tblHeader/>
        </w:trPr>
        <w:tc>
          <w:tcPr>
            <w:tcW w:type="dxa" w:w="2200"/>
            <w:shd w:fill="D9E2F3" w:color="auto" w:val="clear"/>
            <w:tcMar>
              <w:top w:type="dxa" w:w="90"/>
              <w:left w:type="dxa" w:w="120"/>
              <w:bottom w:type="dxa" w:w="90"/>
              <w:right w:type="dxa" w:w="120"/>
            </w:tcMar>
          </w:tcPr>
          <w:p>
            <w:r>
              <w:rPr>
                <w:b/>
                <w:bCs/>
                <w:color w:val="1F3864"/>
                <w:sz w:val="19"/>
                <w:szCs w:val="19"/>
              </w:rPr>
              <w:t xml:space="preserve">MTL value</w:t>
            </w:r>
          </w:p>
        </w:tc>
        <w:tc>
          <w:tcPr>
            <w:tcW w:type="dxa" w:w="2400"/>
            <w:shd w:fill="D9E2F3" w:color="auto" w:val="clear"/>
            <w:tcMar>
              <w:top w:type="dxa" w:w="90"/>
              <w:left w:type="dxa" w:w="120"/>
              <w:bottom w:type="dxa" w:w="90"/>
              <w:right w:type="dxa" w:w="120"/>
            </w:tcMar>
          </w:tcPr>
          <w:p>
            <w:r>
              <w:rPr>
                <w:b/>
                <w:bCs/>
                <w:color w:val="1F3864"/>
                <w:sz w:val="19"/>
                <w:szCs w:val="19"/>
              </w:rPr>
              <w:t xml:space="preserve">What you found</w:t>
            </w:r>
          </w:p>
        </w:tc>
        <w:tc>
          <w:tcPr>
            <w:tcW w:type="dxa" w:w="4760"/>
            <w:shd w:fill="D9E2F3" w:color="auto" w:val="clear"/>
            <w:tcMar>
              <w:top w:type="dxa" w:w="90"/>
              <w:left w:type="dxa" w:w="120"/>
              <w:bottom w:type="dxa" w:w="90"/>
              <w:right w:type="dxa" w:w="120"/>
            </w:tcMar>
          </w:tcPr>
          <w:p>
            <w:r>
              <w:rPr>
                <w:b/>
                <w:bCs/>
                <w:color w:val="1F3864"/>
                <w:sz w:val="19"/>
                <w:szCs w:val="19"/>
              </w:rPr>
              <w:t xml:space="preserve">What it means for your result</w:t>
            </w:r>
          </w:p>
        </w:tc>
      </w:tr>
      <w:tr>
        <w:trPr>
          <w:cantSplit/>
        </w:trPr>
        <w:tc>
          <w:tcPr>
            <w:tcW w:type="dxa" w:w="2200"/>
            <w:tcMar>
              <w:top w:type="dxa" w:w="90"/>
              <w:left w:type="dxa" w:w="120"/>
              <w:bottom w:type="dxa" w:w="90"/>
              <w:right w:type="dxa" w:w="120"/>
            </w:tcMar>
          </w:tcPr>
          <w:p>
            <w:r>
              <w:rPr>
                <w:color w:val="000000"/>
                <w:sz w:val="19"/>
                <w:szCs w:val="19"/>
              </w:rPr>
              <w:t xml:space="preserve">DATE_ACQUIRED</w:t>
            </w:r>
          </w:p>
        </w:tc>
        <w:tc>
          <w:tcPr>
            <w:tcW w:type="dxa" w:w="2400"/>
            <w:tcMar>
              <w:top w:type="dxa" w:w="90"/>
              <w:left w:type="dxa" w:w="120"/>
              <w:bottom w:type="dxa" w:w="90"/>
              <w:right w:type="dxa" w:w="120"/>
            </w:tcMar>
          </w:tcPr>
          <w:p>
            <w:r>
              <w:rPr>
                <w:color w:val="767171"/>
                <w:sz w:val="19"/>
                <w:szCs w:val="19"/>
              </w:rPr>
              <w:t xml:space="preserve"> </w:t>
            </w:r>
          </w:p>
        </w:tc>
        <w:tc>
          <w:tcPr>
            <w:tcW w:type="dxa" w:w="4760"/>
            <w:tcMar>
              <w:top w:type="dxa" w:w="90"/>
              <w:left w:type="dxa" w:w="120"/>
              <w:bottom w:type="dxa" w:w="90"/>
              <w:right w:type="dxa" w:w="120"/>
            </w:tcMar>
          </w:tcPr>
          <w:p>
            <w:r>
              <w:rPr>
                <w:color w:val="767171"/>
                <w:sz w:val="19"/>
                <w:szCs w:val="19"/>
              </w:rPr>
              <w:t xml:space="preserve"> </w:t>
            </w:r>
          </w:p>
        </w:tc>
      </w:tr>
      <w:tr>
        <w:trPr>
          <w:cantSplit/>
        </w:trPr>
        <w:tc>
          <w:tcPr>
            <w:tcW w:type="dxa" w:w="2200"/>
            <w:shd w:fill="F2F2F2" w:color="auto" w:val="clear"/>
            <w:tcMar>
              <w:top w:type="dxa" w:w="90"/>
              <w:left w:type="dxa" w:w="120"/>
              <w:bottom w:type="dxa" w:w="90"/>
              <w:right w:type="dxa" w:w="120"/>
            </w:tcMar>
          </w:tcPr>
          <w:p>
            <w:r>
              <w:rPr>
                <w:color w:val="000000"/>
                <w:sz w:val="19"/>
                <w:szCs w:val="19"/>
              </w:rPr>
              <w:t xml:space="preserve">CLOUD_COVER</w:t>
            </w:r>
          </w:p>
        </w:tc>
        <w:tc>
          <w:tcPr>
            <w:tcW w:type="dxa" w:w="2400"/>
            <w:shd w:fill="F2F2F2" w:color="auto" w:val="clear"/>
            <w:tcMar>
              <w:top w:type="dxa" w:w="90"/>
              <w:left w:type="dxa" w:w="120"/>
              <w:bottom w:type="dxa" w:w="90"/>
              <w:right w:type="dxa" w:w="120"/>
            </w:tcMar>
          </w:tcPr>
          <w:p>
            <w:r>
              <w:rPr>
                <w:color w:val="767171"/>
                <w:sz w:val="19"/>
                <w:szCs w:val="19"/>
              </w:rPr>
              <w:t xml:space="preserve"> </w:t>
            </w:r>
          </w:p>
        </w:tc>
        <w:tc>
          <w:tcPr>
            <w:tcW w:type="dxa" w:w="47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200"/>
            <w:tcMar>
              <w:top w:type="dxa" w:w="90"/>
              <w:left w:type="dxa" w:w="120"/>
              <w:bottom w:type="dxa" w:w="90"/>
              <w:right w:type="dxa" w:w="120"/>
            </w:tcMar>
          </w:tcPr>
          <w:p>
            <w:r>
              <w:rPr>
                <w:color w:val="000000"/>
                <w:sz w:val="19"/>
                <w:szCs w:val="19"/>
              </w:rPr>
              <w:t xml:space="preserve">Reflectance offset</w:t>
            </w:r>
          </w:p>
        </w:tc>
        <w:tc>
          <w:tcPr>
            <w:tcW w:type="dxa" w:w="2400"/>
            <w:tcMar>
              <w:top w:type="dxa" w:w="90"/>
              <w:left w:type="dxa" w:w="120"/>
              <w:bottom w:type="dxa" w:w="90"/>
              <w:right w:type="dxa" w:w="120"/>
            </w:tcMar>
          </w:tcPr>
          <w:p>
            <w:r>
              <w:rPr>
                <w:color w:val="767171"/>
                <w:sz w:val="19"/>
                <w:szCs w:val="19"/>
              </w:rPr>
              <w:t xml:space="preserve"> </w:t>
            </w:r>
          </w:p>
        </w:tc>
        <w:tc>
          <w:tcPr>
            <w:tcW w:type="dxa" w:w="4760"/>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1. Scene metadata from the MTL file.</w:t>
      </w:r>
    </w:p>
    <w:p>
      <w:pPr>
        <w:pStyle w:val="Heading1"/>
        <w:spacing w:after="80" w:before="280"/>
      </w:pPr>
      <w:r>
        <w:rPr>
          <w:b/>
          <w:bCs/>
          <w:color w:val="1F3864"/>
          <w:sz w:val="28"/>
          <w:szCs w:val="28"/>
        </w:rPr>
        <w:t xml:space="preserve">3.  The Model</w:t>
      </w:r>
    </w:p>
    <w:p>
      <w:pPr>
        <w:spacing w:after="160" w:before="60"/>
      </w:pPr>
      <w:r>
        <w:rPr>
          <w:i/>
          <w:iCs/>
          <w:color w:val="767171"/>
          <w:sz w:val="19"/>
          <w:szCs w:val="19"/>
        </w:rPr>
        <w:t xml:space="preserve">Rubric: a description a reader could repeat from — each tool, its settings, and every input, intermediate and output dataset with its type; for each input, the satellite and band, acquisition date, cloud cover and source (2 points). Fill one row per tool, in the order they run, and fill both the Type and the Source column.</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400"/>
        <w:gridCol w:w="1700"/>
        <w:gridCol w:w="1360"/>
      </w:tblGrid>
      <w:tr>
        <w:trPr>
          <w:cantSplit/>
          <w:tblHeader/>
        </w:trPr>
        <w:tc>
          <w:tcPr>
            <w:tcW w:type="dxa" w:w="1500"/>
            <w:shd w:fill="D9E2F3" w:color="auto" w:val="clear"/>
            <w:tcMar>
              <w:top w:type="dxa" w:w="90"/>
              <w:left w:type="dxa" w:w="120"/>
              <w:bottom w:type="dxa" w:w="90"/>
              <w:right w:type="dxa" w:w="120"/>
            </w:tcMar>
          </w:tcPr>
          <w:p>
            <w:r>
              <w:rPr>
                <w:b/>
                <w:bCs/>
                <w:color w:val="1F3864"/>
                <w:sz w:val="19"/>
                <w:szCs w:val="19"/>
              </w:rPr>
              <w:t xml:space="preserve">Tool</w:t>
            </w:r>
          </w:p>
        </w:tc>
        <w:tc>
          <w:tcPr>
            <w:tcW w:type="dxa" w:w="2400"/>
            <w:shd w:fill="D9E2F3" w:color="auto" w:val="clear"/>
            <w:tcMar>
              <w:top w:type="dxa" w:w="90"/>
              <w:left w:type="dxa" w:w="120"/>
              <w:bottom w:type="dxa" w:w="90"/>
              <w:right w:type="dxa" w:w="120"/>
            </w:tcMar>
          </w:tcPr>
          <w:p>
            <w:r>
              <w:rPr>
                <w:b/>
                <w:bCs/>
                <w:color w:val="1F3864"/>
                <w:sz w:val="19"/>
                <w:szCs w:val="19"/>
              </w:rPr>
              <w:t xml:space="preserve">Settings</w:t>
            </w:r>
          </w:p>
        </w:tc>
        <w:tc>
          <w:tcPr>
            <w:tcW w:type="dxa" w:w="2400"/>
            <w:shd w:fill="D9E2F3" w:color="auto" w:val="clear"/>
            <w:tcMar>
              <w:top w:type="dxa" w:w="90"/>
              <w:left w:type="dxa" w:w="120"/>
              <w:bottom w:type="dxa" w:w="90"/>
              <w:right w:type="dxa" w:w="120"/>
            </w:tcMar>
          </w:tcPr>
          <w:p>
            <w:r>
              <w:rPr>
                <w:b/>
                <w:bCs/>
                <w:color w:val="1F3864"/>
                <w:sz w:val="19"/>
                <w:szCs w:val="19"/>
              </w:rPr>
              <w:t xml:space="preserve">Input dataset(s)</w:t>
            </w:r>
          </w:p>
        </w:tc>
        <w:tc>
          <w:tcPr>
            <w:tcW w:type="dxa" w:w="1700"/>
            <w:shd w:fill="D9E2F3" w:color="auto" w:val="clear"/>
            <w:tcMar>
              <w:top w:type="dxa" w:w="90"/>
              <w:left w:type="dxa" w:w="120"/>
              <w:bottom w:type="dxa" w:w="90"/>
              <w:right w:type="dxa" w:w="120"/>
            </w:tcMar>
          </w:tcPr>
          <w:p>
            <w:r>
              <w:rPr>
                <w:b/>
                <w:bCs/>
                <w:color w:val="1F3864"/>
                <w:sz w:val="19"/>
                <w:szCs w:val="19"/>
              </w:rPr>
              <w:t xml:space="preserve">Output dataset</w:t>
            </w:r>
          </w:p>
        </w:tc>
        <w:tc>
          <w:tcPr>
            <w:tcW w:type="dxa" w:w="1360"/>
            <w:shd w:fill="D9E2F3" w:color="auto" w:val="clear"/>
            <w:tcMar>
              <w:top w:type="dxa" w:w="90"/>
              <w:left w:type="dxa" w:w="120"/>
              <w:bottom w:type="dxa" w:w="90"/>
              <w:right w:type="dxa" w:w="120"/>
            </w:tcMar>
          </w:tcPr>
          <w:p>
            <w:r>
              <w:rPr>
                <w:b/>
                <w:bCs/>
                <w:color w:val="1F3864"/>
                <w:sz w:val="19"/>
                <w:szCs w:val="19"/>
              </w:rPr>
              <w:t xml:space="preserve">Output type</w:t>
            </w:r>
          </w:p>
        </w:tc>
      </w:tr>
      <w:tr>
        <w:trPr>
          <w:cantSplit/>
        </w:trPr>
        <w:tc>
          <w:tcPr>
            <w:tcW w:type="dxa" w:w="1500"/>
            <w:tcMar>
              <w:top w:type="dxa" w:w="90"/>
              <w:left w:type="dxa" w:w="120"/>
              <w:bottom w:type="dxa" w:w="90"/>
              <w:right w:type="dxa" w:w="120"/>
            </w:tcMar>
          </w:tcPr>
          <w:p>
            <w:r>
              <w:rPr>
                <w:color w:val="767171"/>
                <w:sz w:val="19"/>
                <w:szCs w:val="19"/>
              </w:rPr>
              <w:t xml:space="preserve"> </w:t>
            </w:r>
          </w:p>
        </w:tc>
        <w:tc>
          <w:tcPr>
            <w:tcW w:type="dxa" w:w="2400"/>
            <w:tcMar>
              <w:top w:type="dxa" w:w="90"/>
              <w:left w:type="dxa" w:w="120"/>
              <w:bottom w:type="dxa" w:w="90"/>
              <w:right w:type="dxa" w:w="120"/>
            </w:tcMar>
          </w:tcPr>
          <w:p>
            <w:r>
              <w:rPr>
                <w:color w:val="767171"/>
                <w:sz w:val="19"/>
                <w:szCs w:val="19"/>
              </w:rPr>
              <w:t xml:space="preserve"> </w:t>
            </w:r>
          </w:p>
        </w:tc>
        <w:tc>
          <w:tcPr>
            <w:tcW w:type="dxa" w:w="24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360"/>
            <w:tcMar>
              <w:top w:type="dxa" w:w="90"/>
              <w:left w:type="dxa" w:w="120"/>
              <w:bottom w:type="dxa" w:w="90"/>
              <w:right w:type="dxa" w:w="120"/>
            </w:tcMar>
          </w:tcPr>
          <w:p>
            <w:r>
              <w:rPr>
                <w:color w:val="767171"/>
                <w:sz w:val="19"/>
                <w:szCs w:val="19"/>
              </w:rPr>
              <w:t xml:space="preserve"> </w:t>
            </w:r>
          </w:p>
        </w:tc>
      </w:tr>
      <w:tr>
        <w:trPr>
          <w:cantSplit/>
        </w:trPr>
        <w:tc>
          <w:tcPr>
            <w:tcW w:type="dxa" w:w="1500"/>
            <w:shd w:fill="F2F2F2" w:color="auto" w:val="clear"/>
            <w:tcMar>
              <w:top w:type="dxa" w:w="90"/>
              <w:left w:type="dxa" w:w="120"/>
              <w:bottom w:type="dxa" w:w="90"/>
              <w:right w:type="dxa" w:w="120"/>
            </w:tcMar>
          </w:tcPr>
          <w:p>
            <w:r>
              <w:rPr>
                <w:color w:val="767171"/>
                <w:sz w:val="19"/>
                <w:szCs w:val="19"/>
              </w:rPr>
              <w:t xml:space="preserve"> </w:t>
            </w:r>
          </w:p>
        </w:tc>
        <w:tc>
          <w:tcPr>
            <w:tcW w:type="dxa" w:w="2400"/>
            <w:shd w:fill="F2F2F2" w:color="auto" w:val="clear"/>
            <w:tcMar>
              <w:top w:type="dxa" w:w="90"/>
              <w:left w:type="dxa" w:w="120"/>
              <w:bottom w:type="dxa" w:w="90"/>
              <w:right w:type="dxa" w:w="120"/>
            </w:tcMar>
          </w:tcPr>
          <w:p>
            <w:r>
              <w:rPr>
                <w:color w:val="767171"/>
                <w:sz w:val="19"/>
                <w:szCs w:val="19"/>
              </w:rPr>
              <w:t xml:space="preserve"> </w:t>
            </w:r>
          </w:p>
        </w:tc>
        <w:tc>
          <w:tcPr>
            <w:tcW w:type="dxa" w:w="24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3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1500"/>
            <w:tcMar>
              <w:top w:type="dxa" w:w="90"/>
              <w:left w:type="dxa" w:w="120"/>
              <w:bottom w:type="dxa" w:w="90"/>
              <w:right w:type="dxa" w:w="120"/>
            </w:tcMar>
          </w:tcPr>
          <w:p>
            <w:r>
              <w:rPr>
                <w:color w:val="767171"/>
                <w:sz w:val="19"/>
                <w:szCs w:val="19"/>
              </w:rPr>
              <w:t xml:space="preserve"> </w:t>
            </w:r>
          </w:p>
        </w:tc>
        <w:tc>
          <w:tcPr>
            <w:tcW w:type="dxa" w:w="2400"/>
            <w:tcMar>
              <w:top w:type="dxa" w:w="90"/>
              <w:left w:type="dxa" w:w="120"/>
              <w:bottom w:type="dxa" w:w="90"/>
              <w:right w:type="dxa" w:w="120"/>
            </w:tcMar>
          </w:tcPr>
          <w:p>
            <w:r>
              <w:rPr>
                <w:color w:val="767171"/>
                <w:sz w:val="19"/>
                <w:szCs w:val="19"/>
              </w:rPr>
              <w:t xml:space="preserve"> </w:t>
            </w:r>
          </w:p>
        </w:tc>
        <w:tc>
          <w:tcPr>
            <w:tcW w:type="dxa" w:w="24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360"/>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2. Model description — one row per tool.</w:t>
      </w:r>
    </w:p>
    <w:p>
      <w:pPr>
        <w:sectPr>
          <w:pgSz w:w="12240" w:h="15840" w:orient="portrait"/>
          <w:pgMar w:top="1440" w:right="1440" w:bottom="1440" w:left="1440" w:header="708" w:footer="708" w:gutter="0"/>
          <w:pgNumType/>
          <w:docGrid w:linePitch="360"/>
        </w:sectPr>
      </w:pPr>
    </w:p>
    <w:p>
      <w:pPr>
        <w:spacing w:after="160" w:before="60"/>
      </w:pPr>
      <w:r>
        <w:rPr>
          <w:i/>
          <w:iCs/>
          <w:color w:val="767171"/>
          <w:sz w:val="19"/>
          <w:szCs w:val="19"/>
        </w:rPr>
        <w:t xml:space="preserve">Rubric: a full-page (8.5 × 11) figure of the model — every tool and dataset shown, labels informative, all text readable at 10 pt or larger (2 points). Insert the exported PNG file itself. Do not screen-capture it, redraw it, or run it through an AI “enhancer” — that changes what the figure shows. This page is landscape so a wide model stays readable.</w:t>
      </w:r>
    </w:p>
    <w:tbl>
      <w:tblPr>
        <w:tblW w:type="dxa" w:w="12960"/>
        <w:tblBorders>
          <w:top w:val="dashed" w:color="BFBFBF" w:sz="6"/>
          <w:left w:val="dashed" w:color="BFBFBF" w:sz="6"/>
          <w:bottom w:val="dashed" w:color="BFBFBF" w:sz="6"/>
          <w:right w:val="dashed" w:color="BFBFBF" w:sz="6"/>
          <w:insideH w:val="dashed" w:color="BFBFBF" w:sz="6"/>
          <w:insideV w:val="dashed" w:color="BFBFBF" w:sz="6"/>
        </w:tblBorders>
      </w:tblPr>
      <w:tblGrid>
        <w:gridCol w:w="12960"/>
      </w:tblGrid>
      <w:tr>
        <w:trPr>
          <w:cantSplit/>
          <w:trHeight w:val="7500" w:hRule="atLeast"/>
        </w:trPr>
        <w:tc>
          <w:tcPr>
            <w:tcW w:type="dxa" w:w="129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Figure 1. The complete model, exported from ModelBuilder with Export ▸ Export To Graphic.</w:t>
      </w:r>
    </w:p>
    <w:p>
      <w:pPr>
        <w:sectPr>
          <w:pgSz w:w="15840" w:h="12240" w:orient="landscape"/>
          <w:pgMar w:top="1440" w:right="1440" w:bottom="1440" w:left="1440" w:header="708" w:footer="708" w:gutter="0"/>
          <w:pgNumType/>
          <w:docGrid w:linePitch="360"/>
        </w:sectPr>
      </w:pPr>
    </w:p>
    <w:p>
      <w:pPr>
        <w:spacing w:after="160" w:before="60"/>
      </w:pPr>
      <w:r>
        <w:rPr>
          <w:i/>
          <w:iCs/>
          <w:color w:val="767171"/>
          <w:sz w:val="19"/>
          <w:szCs w:val="19"/>
        </w:rPr>
        <w:t xml:space="preserve">Rubric: a screen capture of the toolbox interface with the threshold exposed as a parameter, showing the input and output parameters (2 points).</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432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Figure 2. The model’s toolbox interface, with the threshold exposed as a parameter.</w:t>
      </w:r>
    </w:p>
    <w:p>
      <w:pPr>
        <w:pStyle w:val="Heading1"/>
        <w:spacing w:after="80" w:before="280"/>
      </w:pPr>
      <w:r>
        <w:rPr>
          <w:b/>
          <w:bCs/>
          <w:color w:val="1F3864"/>
          <w:sz w:val="28"/>
          <w:szCs w:val="28"/>
        </w:rPr>
        <w:t xml:space="preserve">4.  Threshold Sensitivity</w:t>
      </w:r>
    </w:p>
    <w:p>
      <w:pPr>
        <w:spacing w:after="160" w:before="60"/>
      </w:pPr>
      <w:r>
        <w:rPr>
          <w:i/>
          <w:iCs/>
          <w:color w:val="767171"/>
          <w:sz w:val="19"/>
          <w:szCs w:val="19"/>
        </w:rPr>
        <w:t xml:space="preserve">Rubric: a table of at least three additional runs, giving the threshold, the cells in class 1 and the area for each (4 points). Report the check values at the handout’s threshold too, so a reader can see your model reproduces them.</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1700"/>
        <w:gridCol w:w="1500"/>
        <w:gridCol w:w="1600"/>
        <w:gridCol w:w="3260"/>
      </w:tblGrid>
      <w:tr>
        <w:trPr>
          <w:cantSplit/>
          <w:tblHeader/>
        </w:trPr>
        <w:tc>
          <w:tcPr>
            <w:tcW w:type="dxa" w:w="1300"/>
            <w:shd w:fill="D9E2F3" w:color="auto" w:val="clear"/>
            <w:tcMar>
              <w:top w:type="dxa" w:w="90"/>
              <w:left w:type="dxa" w:w="120"/>
              <w:bottom w:type="dxa" w:w="90"/>
              <w:right w:type="dxa" w:w="120"/>
            </w:tcMar>
          </w:tcPr>
          <w:p>
            <w:r>
              <w:rPr>
                <w:b/>
                <w:bCs/>
                <w:color w:val="1F3864"/>
                <w:sz w:val="19"/>
                <w:szCs w:val="19"/>
              </w:rPr>
              <w:t xml:space="preserve">Threshold</w:t>
            </w:r>
          </w:p>
        </w:tc>
        <w:tc>
          <w:tcPr>
            <w:tcW w:type="dxa" w:w="1700"/>
            <w:shd w:fill="D9E2F3" w:color="auto" w:val="clear"/>
            <w:tcMar>
              <w:top w:type="dxa" w:w="90"/>
              <w:left w:type="dxa" w:w="120"/>
              <w:bottom w:type="dxa" w:w="90"/>
              <w:right w:type="dxa" w:w="120"/>
            </w:tcMar>
          </w:tcPr>
          <w:p>
            <w:r>
              <w:rPr>
                <w:b/>
                <w:bCs/>
                <w:color w:val="1F3864"/>
                <w:sz w:val="19"/>
                <w:szCs w:val="19"/>
              </w:rPr>
              <w:t xml:space="preserve">Cells in class 1</w:t>
            </w:r>
          </w:p>
        </w:tc>
        <w:tc>
          <w:tcPr>
            <w:tcW w:type="dxa" w:w="1500"/>
            <w:shd w:fill="D9E2F3" w:color="auto" w:val="clear"/>
            <w:tcMar>
              <w:top w:type="dxa" w:w="90"/>
              <w:left w:type="dxa" w:w="120"/>
              <w:bottom w:type="dxa" w:w="90"/>
              <w:right w:type="dxa" w:w="120"/>
            </w:tcMar>
          </w:tcPr>
          <w:p>
            <w:r>
              <w:rPr>
                <w:b/>
                <w:bCs/>
                <w:color w:val="1F3864"/>
                <w:sz w:val="19"/>
                <w:szCs w:val="19"/>
              </w:rPr>
              <w:t xml:space="preserve">Area (sq mi)</w:t>
            </w:r>
          </w:p>
        </w:tc>
        <w:tc>
          <w:tcPr>
            <w:tcW w:type="dxa" w:w="1600"/>
            <w:shd w:fill="D9E2F3" w:color="auto" w:val="clear"/>
            <w:tcMar>
              <w:top w:type="dxa" w:w="90"/>
              <w:left w:type="dxa" w:w="120"/>
              <w:bottom w:type="dxa" w:w="90"/>
              <w:right w:type="dxa" w:w="120"/>
            </w:tcMar>
          </w:tcPr>
          <w:p>
            <w:r>
              <w:rPr>
                <w:b/>
                <w:bCs/>
                <w:color w:val="1F3864"/>
                <w:sz w:val="19"/>
                <w:szCs w:val="19"/>
              </w:rPr>
              <w:t xml:space="preserve">Percent of county</w:t>
            </w:r>
          </w:p>
        </w:tc>
        <w:tc>
          <w:tcPr>
            <w:tcW w:type="dxa" w:w="3260"/>
            <w:shd w:fill="D9E2F3" w:color="auto" w:val="clear"/>
            <w:tcMar>
              <w:top w:type="dxa" w:w="90"/>
              <w:left w:type="dxa" w:w="120"/>
              <w:bottom w:type="dxa" w:w="90"/>
              <w:right w:type="dxa" w:w="120"/>
            </w:tcMar>
          </w:tcPr>
          <w:p>
            <w:r>
              <w:rPr>
                <w:b/>
                <w:bCs/>
                <w:color w:val="1F3864"/>
                <w:sz w:val="19"/>
                <w:szCs w:val="19"/>
              </w:rPr>
              <w:t xml:space="preserve">What the map looks like</w:t>
            </w:r>
          </w:p>
        </w:tc>
      </w:tr>
      <w:tr>
        <w:trPr>
          <w:cantSplit/>
        </w:trPr>
        <w:tc>
          <w:tcPr>
            <w:tcW w:type="dxa" w:w="1300"/>
            <w:tcMar>
              <w:top w:type="dxa" w:w="90"/>
              <w:left w:type="dxa" w:w="120"/>
              <w:bottom w:type="dxa" w:w="90"/>
              <w:right w:type="dxa" w:w="120"/>
            </w:tcMar>
          </w:tcPr>
          <w:p>
            <w:r>
              <w:rPr>
                <w:color w:val="000000"/>
                <w:sz w:val="19"/>
                <w:szCs w:val="19"/>
              </w:rPr>
              <w:t xml:space="preserve">0.4 (baseline)</w:t>
            </w:r>
          </w:p>
        </w:tc>
        <w:tc>
          <w:tcPr>
            <w:tcW w:type="dxa" w:w="1700"/>
            <w:tcMar>
              <w:top w:type="dxa" w:w="90"/>
              <w:left w:type="dxa" w:w="120"/>
              <w:bottom w:type="dxa" w:w="90"/>
              <w:right w:type="dxa" w:w="120"/>
            </w:tcMar>
          </w:tcPr>
          <w:p>
            <w:r>
              <w:rPr>
                <w:color w:val="767171"/>
                <w:sz w:val="19"/>
                <w:szCs w:val="19"/>
              </w:rPr>
              <w:t xml:space="preserve"> </w:t>
            </w:r>
          </w:p>
        </w:tc>
        <w:tc>
          <w:tcPr>
            <w:tcW w:type="dxa" w:w="1500"/>
            <w:tcMar>
              <w:top w:type="dxa" w:w="90"/>
              <w:left w:type="dxa" w:w="120"/>
              <w:bottom w:type="dxa" w:w="90"/>
              <w:right w:type="dxa" w:w="120"/>
            </w:tcMar>
          </w:tcPr>
          <w:p>
            <w:r>
              <w:rPr>
                <w:color w:val="767171"/>
                <w:sz w:val="19"/>
                <w:szCs w:val="19"/>
              </w:rPr>
              <w:t xml:space="preserve"> </w:t>
            </w:r>
          </w:p>
        </w:tc>
        <w:tc>
          <w:tcPr>
            <w:tcW w:type="dxa" w:w="1600"/>
            <w:tcMar>
              <w:top w:type="dxa" w:w="90"/>
              <w:left w:type="dxa" w:w="120"/>
              <w:bottom w:type="dxa" w:w="90"/>
              <w:right w:type="dxa" w:w="120"/>
            </w:tcMar>
          </w:tcPr>
          <w:p>
            <w:r>
              <w:rPr>
                <w:color w:val="767171"/>
                <w:sz w:val="19"/>
                <w:szCs w:val="19"/>
              </w:rPr>
              <w:t xml:space="preserve"> </w:t>
            </w:r>
          </w:p>
        </w:tc>
        <w:tc>
          <w:tcPr>
            <w:tcW w:type="dxa" w:w="3260"/>
            <w:tcMar>
              <w:top w:type="dxa" w:w="90"/>
              <w:left w:type="dxa" w:w="120"/>
              <w:bottom w:type="dxa" w:w="90"/>
              <w:right w:type="dxa" w:w="120"/>
            </w:tcMar>
          </w:tcPr>
          <w:p>
            <w:r>
              <w:rPr>
                <w:color w:val="767171"/>
                <w:sz w:val="19"/>
                <w:szCs w:val="19"/>
              </w:rPr>
              <w:t xml:space="preserve"> </w:t>
            </w:r>
          </w:p>
        </w:tc>
      </w:tr>
      <w:tr>
        <w:trPr>
          <w:cantSplit/>
        </w:trPr>
        <w:tc>
          <w:tcPr>
            <w:tcW w:type="dxa" w:w="13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500"/>
            <w:shd w:fill="F2F2F2" w:color="auto" w:val="clear"/>
            <w:tcMar>
              <w:top w:type="dxa" w:w="90"/>
              <w:left w:type="dxa" w:w="120"/>
              <w:bottom w:type="dxa" w:w="90"/>
              <w:right w:type="dxa" w:w="120"/>
            </w:tcMar>
          </w:tcPr>
          <w:p>
            <w:r>
              <w:rPr>
                <w:color w:val="767171"/>
                <w:sz w:val="19"/>
                <w:szCs w:val="19"/>
              </w:rPr>
              <w:t xml:space="preserve"> </w:t>
            </w:r>
          </w:p>
        </w:tc>
        <w:tc>
          <w:tcPr>
            <w:tcW w:type="dxa" w:w="1600"/>
            <w:shd w:fill="F2F2F2" w:color="auto" w:val="clear"/>
            <w:tcMar>
              <w:top w:type="dxa" w:w="90"/>
              <w:left w:type="dxa" w:w="120"/>
              <w:bottom w:type="dxa" w:w="90"/>
              <w:right w:type="dxa" w:w="120"/>
            </w:tcMar>
          </w:tcPr>
          <w:p>
            <w:r>
              <w:rPr>
                <w:color w:val="767171"/>
                <w:sz w:val="19"/>
                <w:szCs w:val="19"/>
              </w:rPr>
              <w:t xml:space="preserve"> </w:t>
            </w:r>
          </w:p>
        </w:tc>
        <w:tc>
          <w:tcPr>
            <w:tcW w:type="dxa" w:w="3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13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500"/>
            <w:tcMar>
              <w:top w:type="dxa" w:w="90"/>
              <w:left w:type="dxa" w:w="120"/>
              <w:bottom w:type="dxa" w:w="90"/>
              <w:right w:type="dxa" w:w="120"/>
            </w:tcMar>
          </w:tcPr>
          <w:p>
            <w:r>
              <w:rPr>
                <w:color w:val="767171"/>
                <w:sz w:val="19"/>
                <w:szCs w:val="19"/>
              </w:rPr>
              <w:t xml:space="preserve"> </w:t>
            </w:r>
          </w:p>
        </w:tc>
        <w:tc>
          <w:tcPr>
            <w:tcW w:type="dxa" w:w="1600"/>
            <w:tcMar>
              <w:top w:type="dxa" w:w="90"/>
              <w:left w:type="dxa" w:w="120"/>
              <w:bottom w:type="dxa" w:w="90"/>
              <w:right w:type="dxa" w:w="120"/>
            </w:tcMar>
          </w:tcPr>
          <w:p>
            <w:r>
              <w:rPr>
                <w:color w:val="767171"/>
                <w:sz w:val="19"/>
                <w:szCs w:val="19"/>
              </w:rPr>
              <w:t xml:space="preserve"> </w:t>
            </w:r>
          </w:p>
        </w:tc>
        <w:tc>
          <w:tcPr>
            <w:tcW w:type="dxa" w:w="3260"/>
            <w:tcMar>
              <w:top w:type="dxa" w:w="90"/>
              <w:left w:type="dxa" w:w="120"/>
              <w:bottom w:type="dxa" w:w="90"/>
              <w:right w:type="dxa" w:w="120"/>
            </w:tcMar>
          </w:tcPr>
          <w:p>
            <w:r>
              <w:rPr>
                <w:color w:val="767171"/>
                <w:sz w:val="19"/>
                <w:szCs w:val="19"/>
              </w:rPr>
              <w:t xml:space="preserve"> </w:t>
            </w:r>
          </w:p>
        </w:tc>
      </w:tr>
      <w:tr>
        <w:trPr>
          <w:cantSplit/>
        </w:trPr>
        <w:tc>
          <w:tcPr>
            <w:tcW w:type="dxa" w:w="13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500"/>
            <w:shd w:fill="F2F2F2" w:color="auto" w:val="clear"/>
            <w:tcMar>
              <w:top w:type="dxa" w:w="90"/>
              <w:left w:type="dxa" w:w="120"/>
              <w:bottom w:type="dxa" w:w="90"/>
              <w:right w:type="dxa" w:w="120"/>
            </w:tcMar>
          </w:tcPr>
          <w:p>
            <w:r>
              <w:rPr>
                <w:color w:val="767171"/>
                <w:sz w:val="19"/>
                <w:szCs w:val="19"/>
              </w:rPr>
              <w:t xml:space="preserve"> </w:t>
            </w:r>
          </w:p>
        </w:tc>
        <w:tc>
          <w:tcPr>
            <w:tcW w:type="dxa" w:w="1600"/>
            <w:shd w:fill="F2F2F2" w:color="auto" w:val="clear"/>
            <w:tcMar>
              <w:top w:type="dxa" w:w="90"/>
              <w:left w:type="dxa" w:w="120"/>
              <w:bottom w:type="dxa" w:w="90"/>
              <w:right w:type="dxa" w:w="120"/>
            </w:tcMar>
          </w:tcPr>
          <w:p>
            <w:r>
              <w:rPr>
                <w:color w:val="767171"/>
                <w:sz w:val="19"/>
                <w:szCs w:val="19"/>
              </w:rPr>
              <w:t xml:space="preserve"> </w:t>
            </w:r>
          </w:p>
        </w:tc>
        <w:tc>
          <w:tcPr>
            <w:tcW w:type="dxa" w:w="3260"/>
            <w:shd w:fill="F2F2F2" w:color="auto" w:val="clear"/>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3. Threshold sensitivity — at least three runs beyond the baseline.</w:t>
      </w:r>
    </w:p>
    <w:p>
      <w:pPr>
        <w:pStyle w:val="Heading2"/>
        <w:spacing w:after="60" w:before="220"/>
      </w:pPr>
      <w:r>
        <w:rPr>
          <w:b/>
          <w:bCs/>
          <w:color w:val="1F3864"/>
          <w:sz w:val="22"/>
          <w:szCs w:val="22"/>
        </w:rPr>
        <w:t xml:space="preserve">Which threshold best matches the fields you can verify? Support it with NDVI values you read, not an impression. (2 points)</w:t>
      </w:r>
    </w:p>
    <w:p>
      <w:pPr>
        <w:spacing w:after="260" w:before="0"/>
      </w:pPr>
      <w:r>
        <w:rPr>
          <w:i/>
          <w:iCs/>
          <w:color w:val="767171"/>
          <w:highlight w:val="yellow"/>
        </w:rPr>
        <w:t xml:space="preserve">[Your answer here.]</w:t>
      </w:r>
    </w:p>
    <w:p>
      <w:pPr>
        <w:pStyle w:val="Heading2"/>
        <w:spacing w:after="60" w:before="220"/>
      </w:pPr>
      <w:r>
        <w:rPr>
          <w:b/>
          <w:bCs/>
          <w:color w:val="1F3864"/>
          <w:sz w:val="22"/>
          <w:szCs w:val="22"/>
        </w:rPr>
        <w:t xml:space="preserve">At what threshold does the forest drop out — and what else drops out with it? (2 points)</w:t>
      </w:r>
    </w:p>
    <w:p>
      <w:pPr>
        <w:spacing w:after="260" w:before="0"/>
      </w:pPr>
      <w:r>
        <w:rPr>
          <w:i/>
          <w:iCs/>
          <w:color w:val="767171"/>
          <w:highlight w:val="yellow"/>
        </w:rPr>
        <w:t xml:space="preserve">[Your answer here.]</w:t>
      </w:r>
    </w:p>
    <w:p>
      <w:pPr>
        <w:pStyle w:val="Heading2"/>
        <w:spacing w:after="60" w:before="220"/>
      </w:pPr>
      <w:r>
        <w:rPr>
          <w:b/>
          <w:bCs/>
          <w:color w:val="1F3864"/>
          <w:sz w:val="22"/>
          <w:szCs w:val="22"/>
        </w:rPr>
        <w:t xml:space="preserve">Is a single NDVI threshold enough to map irrigation in this county? If not, what would you add, and how would it help? (2 points)</w:t>
      </w:r>
    </w:p>
    <w:p>
      <w:pPr>
        <w:spacing w:after="260" w:before="0"/>
      </w:pPr>
      <w:r>
        <w:rPr>
          <w:i/>
          <w:iCs/>
          <w:color w:val="767171"/>
          <w:highlight w:val="yellow"/>
        </w:rPr>
        <w:t xml:space="preserve">[Your answer here.]</w:t>
      </w:r>
    </w:p>
    <w:p>
      <w:pPr>
        <w:pStyle w:val="Heading1"/>
        <w:spacing w:after="80" w:before="280"/>
      </w:pPr>
      <w:r>
        <w:rPr>
          <w:b/>
          <w:bCs/>
          <w:color w:val="1F3864"/>
          <w:sz w:val="28"/>
          <w:szCs w:val="28"/>
        </w:rPr>
        <w:t xml:space="preserve">5.  Where the Classification Is Wrong</w:t>
      </w:r>
    </w:p>
    <w:p>
      <w:pPr>
        <w:spacing w:after="160" w:before="60"/>
      </w:pPr>
      <w:r>
        <w:rPr>
          <w:i/>
          <w:iCs/>
          <w:color w:val="767171"/>
          <w:sz w:val="19"/>
          <w:szCs w:val="19"/>
        </w:rPr>
        <w:t xml:space="preserve">Rubric: where the classification is wrong and why, and what additional data would fix it (3 points). Name the places it fails and the reason, then name the data that would fix each one.</w:t>
      </w:r>
    </w:p>
    <w:p>
      <w:pPr>
        <w:spacing w:after="260" w:before="0"/>
      </w:pPr>
      <w:r>
        <w:rPr>
          <w:i/>
          <w:iCs/>
          <w:color w:val="767171"/>
          <w:highlight w:val="yellow"/>
        </w:rPr>
        <w:t xml:space="preserve">[Add your content here.]</w:t>
      </w:r>
    </w:p>
    <w:p>
      <w:r>
        <w:br w:type="page"/>
      </w:r>
    </w:p>
    <w:p>
      <w:pPr>
        <w:pStyle w:val="Heading1"/>
        <w:spacing w:after="80" w:before="280"/>
      </w:pPr>
      <w:r>
        <w:rPr>
          <w:b/>
          <w:bCs/>
          <w:color w:val="1F3864"/>
          <w:sz w:val="28"/>
          <w:szCs w:val="28"/>
        </w:rPr>
        <w:t xml:space="preserve">6.  Maps</w:t>
      </w:r>
    </w:p>
    <w:p>
      <w:pPr>
        <w:spacing w:after="160" w:before="60"/>
      </w:pPr>
      <w:r>
        <w:rPr>
          <w:i/>
          <w:iCs/>
          <w:color w:val="767171"/>
          <w:sz w:val="19"/>
          <w:szCs w:val="19"/>
        </w:rPr>
        <w:t xml:space="preserve">Both maps are full-page, 8.5 × 11. Put each on its own page. The rubric grades every element separately — see the rubric table at the end of this report.</w:t>
      </w:r>
    </w:p>
    <w:p>
      <w:pPr>
        <w:spacing w:after="160" w:before="60"/>
      </w:pPr>
      <w:r>
        <w:rPr>
          <w:i/>
          <w:iCs/>
          <w:color w:val="767171"/>
          <w:sz w:val="19"/>
          <w:szCs w:val="19"/>
        </w:rPr>
        <w:t xml:space="preserve">Must carry: title stating the threshold; neat line, north arrow, scale bar; a text box with author, date, map projection, and the satellite, scene and acquisition date; the classified raster symbolized with a legend; the county polygon and a few labeled cities; an inset of the center-pivot area; a visible basemap at a sensible scale, all text legible in print.</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864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Map 1. Baseline — the classified NDVI at the threshold you chose and defended.</w:t>
      </w:r>
    </w:p>
    <w:p>
      <w:r>
        <w:br w:type="page"/>
      </w:r>
    </w:p>
    <w:p>
      <w:pPr>
        <w:spacing w:after="160" w:before="60"/>
      </w:pPr>
      <w:r>
        <w:rPr>
          <w:i/>
          <w:iCs/>
          <w:color w:val="767171"/>
          <w:sz w:val="19"/>
          <w:szCs w:val="19"/>
        </w:rPr>
        <w:t xml:space="preserve">Everything Map 1 needs except the inset, plus: the title and text box say what the threshold was changed to and why you chose this run to show.</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864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Map 2. Scenario — the same model at a different threshold from Step 6.</w:t>
      </w:r>
    </w:p>
    <w:p>
      <w:r>
        <w:br w:type="page"/>
      </w:r>
    </w:p>
    <w:p>
      <w:pPr>
        <w:pStyle w:val="Heading1"/>
        <w:spacing w:after="80" w:before="280"/>
      </w:pPr>
      <w:r>
        <w:rPr>
          <w:b/>
          <w:bCs/>
          <w:color w:val="1F3864"/>
          <w:sz w:val="28"/>
          <w:szCs w:val="28"/>
        </w:rPr>
        <w:t xml:space="preserve">7.  References</w:t>
      </w:r>
    </w:p>
    <w:p>
      <w:pPr>
        <w:spacing w:after="160" w:before="60"/>
      </w:pPr>
      <w:r>
        <w:rPr>
          <w:i/>
          <w:iCs/>
          <w:color w:val="767171"/>
          <w:sz w:val="19"/>
          <w:szCs w:val="19"/>
        </w:rPr>
        <w:t xml:space="preserve">Rubric: sources credited (part of the 2 points for organized writing). Credit the data, the basemap and anything you quoted or relied on.</w:t>
      </w:r>
    </w:p>
    <w:p>
      <w:pPr>
        <w:spacing w:after="260" w:before="0"/>
      </w:pPr>
      <w:r>
        <w:rPr>
          <w:i/>
          <w:iCs/>
          <w:color w:val="767171"/>
          <w:highlight w:val="yellow"/>
        </w:rPr>
        <w:t xml:space="preserve">[Add your content here.]</w:t>
      </w:r>
    </w:p>
    <w:p>
      <w:pPr>
        <w:pStyle w:val="Heading1"/>
        <w:spacing w:after="80" w:before="280"/>
      </w:pPr>
      <w:r>
        <w:rPr>
          <w:b/>
          <w:bCs/>
          <w:color w:val="1F3864"/>
          <w:sz w:val="28"/>
          <w:szCs w:val="28"/>
        </w:rPr>
        <w:t xml:space="preserve">8.  AI Use Statement</w:t>
      </w:r>
    </w:p>
    <w:p>
      <w:pPr>
        <w:spacing w:after="160" w:before="60"/>
      </w:pPr>
      <w:r>
        <w:rPr>
          <w:i/>
          <w:iCs/>
          <w:color w:val="767171"/>
          <w:sz w:val="19"/>
          <w:szCs w:val="19"/>
        </w:rPr>
        <w:t xml:space="preserve">Course policy: one line saying what you used AI for. If you used none, say that. Field names, expressions, coordinate systems and numbers come from your own data, never from a model. You do the work in ArcGIS Pro yourself: AI may not run it for you, put facts in your report you did not find, or redraw or “enhance” your figures (see the course AI policy).</w:t>
      </w:r>
    </w:p>
    <w:p>
      <w:pPr>
        <w:spacing w:after="260" w:before="0"/>
      </w:pPr>
      <w:r>
        <w:rPr>
          <w:i/>
          <w:iCs/>
          <w:color w:val="767171"/>
          <w:highlight w:val="yellow"/>
        </w:rPr>
        <w:t xml:space="preserve">[Add your content here.]</w:t>
      </w:r>
    </w:p>
    <w:p>
      <w:r>
        <w:br w:type="page"/>
      </w:r>
    </w:p>
    <w:p>
      <w:pPr>
        <w:pStyle w:val="Heading1"/>
        <w:spacing w:after="80" w:before="280"/>
      </w:pPr>
      <w:r>
        <w:rPr>
          <w:b/>
          <w:bCs/>
          <w:color w:val="1F3864"/>
          <w:sz w:val="28"/>
          <w:szCs w:val="28"/>
        </w:rPr>
        <w:t xml:space="preserve">9.  Extra Credit — the Magic Valley Extract (optional)</w:t>
      </w:r>
    </w:p>
    <w:p>
      <w:pPr>
        <w:spacing w:after="160" w:before="60"/>
      </w:pPr>
      <w:r>
        <w:rPr>
          <w:i/>
          <w:iCs/>
          <w:color w:val="767171"/>
          <w:sz w:val="19"/>
          <w:szCs w:val="19"/>
        </w:rPr>
        <w:t xml:space="preserve">Optional, up to +5. Delete this whole section if you are not attempting it. Report the cells and area of class 1, the NDVI you read at a pivot and at ground you can verify is not irrigated, a map or figure, and a paragraph on whether your threshold transfers.</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432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Figure 3. The Magic Valley result at your chosen threshold.</w:t>
      </w:r>
    </w:p>
    <w:p>
      <w:r>
        <w:br w:type="page"/>
      </w:r>
    </w:p>
    <w:p>
      <w:pPr>
        <w:pStyle w:val="Heading1"/>
        <w:spacing w:after="80" w:before="280"/>
      </w:pPr>
      <w:r>
        <w:rPr>
          <w:b/>
          <w:bCs/>
          <w:color w:val="1F3864"/>
          <w:sz w:val="28"/>
          <w:szCs w:val="28"/>
        </w:rPr>
        <w:t xml:space="preserve">10.  Self-Graded Rubric</w:t>
      </w:r>
    </w:p>
    <w:p>
      <w:pPr>
        <w:spacing w:after="160" w:before="60"/>
      </w:pPr>
      <w:r>
        <w:rPr>
          <w:i/>
          <w:iCs/>
          <w:color w:val="767171"/>
          <w:sz w:val="19"/>
          <w:szCs w:val="19"/>
        </w:rPr>
        <w:t xml:space="preserve">Rubric: this rubric pasted in with your self-assessment in every row (part of the 2 points for organized writing). Put a score in every row, honestly arrived at. The grader compares yours with theirs.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0"/>
        <w:gridCol w:w="900"/>
        <w:gridCol w:w="1260"/>
      </w:tblGrid>
      <w:tr>
        <w:trPr>
          <w:cantSplit/>
          <w:tblHeader/>
        </w:trPr>
        <w:tc>
          <w:tcPr>
            <w:tcW w:type="dxa" w:w="7200"/>
            <w:shd w:fill="D9E2F3" w:color="auto" w:val="clear"/>
            <w:tcMar>
              <w:top w:type="dxa" w:w="90"/>
              <w:left w:type="dxa" w:w="120"/>
              <w:bottom w:type="dxa" w:w="90"/>
              <w:right w:type="dxa" w:w="120"/>
            </w:tcMar>
          </w:tcPr>
          <w:p>
            <w:r>
              <w:rPr>
                <w:b/>
                <w:bCs/>
                <w:color w:val="1F3864"/>
                <w:sz w:val="19"/>
                <w:szCs w:val="19"/>
              </w:rPr>
              <w:t xml:space="preserve">Item</w:t>
            </w:r>
          </w:p>
        </w:tc>
        <w:tc>
          <w:tcPr>
            <w:tcW w:type="dxa" w:w="900"/>
            <w:shd w:fill="D9E2F3" w:color="auto" w:val="clear"/>
            <w:tcMar>
              <w:top w:type="dxa" w:w="90"/>
              <w:left w:type="dxa" w:w="120"/>
              <w:bottom w:type="dxa" w:w="90"/>
              <w:right w:type="dxa" w:w="120"/>
            </w:tcMar>
          </w:tcPr>
          <w:p>
            <w:r>
              <w:rPr>
                <w:b/>
                <w:bCs/>
                <w:color w:val="1F3864"/>
                <w:sz w:val="19"/>
                <w:szCs w:val="19"/>
              </w:rPr>
              <w:t xml:space="preserve">Max</w:t>
            </w:r>
          </w:p>
        </w:tc>
        <w:tc>
          <w:tcPr>
            <w:tcW w:type="dxa" w:w="1260"/>
            <w:shd w:fill="D9E2F3" w:color="auto" w:val="clear"/>
            <w:tcMar>
              <w:top w:type="dxa" w:w="90"/>
              <w:left w:type="dxa" w:w="120"/>
              <w:bottom w:type="dxa" w:w="90"/>
              <w:right w:type="dxa" w:w="120"/>
            </w:tcMar>
          </w:tcPr>
          <w:p>
            <w:r>
              <w:rPr>
                <w:b/>
                <w:bCs/>
                <w:color w:val="1F3864"/>
                <w:sz w:val="19"/>
                <w:szCs w:val="19"/>
              </w:rPr>
              <w:t xml:space="preserve">Your score</w:t>
            </w:r>
          </w:p>
        </w:tc>
      </w:tr>
      <w:tr>
        <w:trPr>
          <w:cantSplit/>
        </w:trPr>
        <w:tc>
          <w:tcPr>
            <w:tcW w:type="dxa" w:w="7200"/>
            <w:tcMar>
              <w:top w:type="dxa" w:w="90"/>
              <w:left w:type="dxa" w:w="120"/>
              <w:bottom w:type="dxa" w:w="90"/>
              <w:right w:type="dxa" w:w="120"/>
            </w:tcMar>
          </w:tcPr>
          <w:p>
            <w:pPr>
              <w:spacing w:after="60"/>
            </w:pPr>
            <w:r>
              <w:rPr>
                <w:b/>
                <w:bCs/>
                <w:sz w:val="19"/>
                <w:szCs w:val="19"/>
              </w:rPr>
              <w:t xml:space="preserve">Write-up (2–3 pages)</w:t>
            </w:r>
          </w:p>
          <w:p>
            <w:pPr>
              <w:pStyle w:val="ListParagraph"/>
              <w:numPr>
                <w:ilvl w:val="0"/>
                <w:numId w:val="3"/>
              </w:numPr>
              <w:spacing w:after="40"/>
            </w:pPr>
            <w:r>
              <w:rPr>
                <w:sz w:val="17"/>
                <w:szCs w:val="17"/>
              </w:rPr>
              <w:t xml:space="preserve">Assignment title, your name, date and course; your peer reviewer named, with a sentence on what you changed because of them (1)</w:t>
            </w:r>
          </w:p>
          <w:p>
            <w:pPr>
              <w:pStyle w:val="ListParagraph"/>
              <w:numPr>
                <w:ilvl w:val="0"/>
                <w:numId w:val="3"/>
              </w:numPr>
              <w:spacing w:after="40"/>
            </w:pPr>
            <w:r>
              <w:rPr>
                <w:sz w:val="17"/>
                <w:szCs w:val="17"/>
              </w:rPr>
              <w:t xml:space="preserve">The requirements of the project and your approach to solving it, in your own words (2)</w:t>
            </w:r>
          </w:p>
          <w:p>
            <w:pPr>
              <w:pStyle w:val="ListParagraph"/>
              <w:numPr>
                <w:ilvl w:val="0"/>
                <w:numId w:val="3"/>
              </w:numPr>
              <w:spacing w:after="40"/>
            </w:pPr>
            <w:r>
              <w:rPr>
                <w:sz w:val="17"/>
                <w:szCs w:val="17"/>
              </w:rPr>
              <w:t xml:space="preserve">The three MTL values — acquisition date, cloud cover and the reflectance offset — and what each one means for your result (2)</w:t>
            </w:r>
          </w:p>
          <w:p>
            <w:pPr>
              <w:pStyle w:val="ListParagraph"/>
              <w:numPr>
                <w:ilvl w:val="0"/>
                <w:numId w:val="3"/>
              </w:numPr>
              <w:spacing w:after="40"/>
            </w:pPr>
            <w:r>
              <w:rPr>
                <w:sz w:val="17"/>
                <w:szCs w:val="17"/>
              </w:rPr>
              <w:t xml:space="preserve">Where the classification is wrong and why, and what additional data would fix it (3)</w:t>
            </w:r>
          </w:p>
          <w:p>
            <w:pPr>
              <w:pStyle w:val="ListParagraph"/>
              <w:numPr>
                <w:ilvl w:val="0"/>
                <w:numId w:val="3"/>
              </w:numPr>
              <w:spacing w:after="40"/>
            </w:pPr>
            <w:r>
              <w:rPr>
                <w:sz w:val="17"/>
                <w:szCs w:val="17"/>
              </w:rPr>
              <w:t xml:space="preserve">Clear, organized writing: figures numbered and referred to in the text, sources credited, and this rubric pasted in with your self-assessment in every row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ModelBuilder model — correct and working</w:t>
            </w:r>
          </w:p>
          <w:p>
            <w:pPr>
              <w:pStyle w:val="ListParagraph"/>
              <w:numPr>
                <w:ilvl w:val="0"/>
                <w:numId w:val="3"/>
              </w:numPr>
              <w:spacing w:after="40"/>
            </w:pPr>
            <w:r>
              <w:rPr>
                <w:sz w:val="17"/>
                <w:szCs w:val="17"/>
              </w:rPr>
              <w:t xml:space="preserve">The model runs end to end from its tool dialog and produces a two-class raster; your cell count and area at the handout's 0.4 threshold match the check values in Steps 0 and 3 (4)</w:t>
            </w:r>
          </w:p>
          <w:p>
            <w:pPr>
              <w:pStyle w:val="ListParagraph"/>
              <w:numPr>
                <w:ilvl w:val="0"/>
                <w:numId w:val="3"/>
              </w:numPr>
              <w:spacing w:after="40"/>
            </w:pPr>
            <w:r>
              <w:rPr>
                <w:sz w:val="17"/>
                <w:szCs w:val="17"/>
              </w:rPr>
              <w:t xml:space="preserve">A full-page (8.5 × 11) figure of the model: every tool and dataset shown, labels informative, all text readable at 10 pt or larger (2)</w:t>
            </w:r>
          </w:p>
          <w:p>
            <w:pPr>
              <w:pStyle w:val="ListParagraph"/>
              <w:numPr>
                <w:ilvl w:val="0"/>
                <w:numId w:val="3"/>
              </w:numPr>
              <w:spacing w:after="40"/>
            </w:pPr>
            <w:r>
              <w:rPr>
                <w:sz w:val="17"/>
                <w:szCs w:val="17"/>
              </w:rPr>
              <w:t xml:space="preserve">A screen capture of the toolbox interface with the threshold exposed as a parameter, showing the input and output parameters (2)</w:t>
            </w:r>
          </w:p>
          <w:p>
            <w:pPr>
              <w:pStyle w:val="ListParagraph"/>
              <w:numPr>
                <w:ilvl w:val="0"/>
                <w:numId w:val="3"/>
              </w:numPr>
              <w:spacing w:after="40"/>
            </w:pPr>
            <w:r>
              <w:rPr>
                <w:sz w:val="17"/>
                <w:szCs w:val="17"/>
              </w:rPr>
              <w:t xml:space="preserve">A description of the model a reader could repeat from: each tool, its settings, and every input, intermediate and output dataset with its type; for each input, the satellite and band, acquisition date, cloud cover and source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Map 1 — your baseline (full page, 8.5 × 11)</w:t>
            </w:r>
          </w:p>
          <w:p>
            <w:pPr>
              <w:pStyle w:val="ListParagraph"/>
              <w:numPr>
                <w:ilvl w:val="0"/>
                <w:numId w:val="3"/>
              </w:numPr>
              <w:spacing w:after="40"/>
            </w:pPr>
            <w:r>
              <w:rPr>
                <w:sz w:val="17"/>
                <w:szCs w:val="17"/>
              </w:rPr>
              <w:t xml:space="preserve">Title stating the threshold used (1)</w:t>
            </w:r>
          </w:p>
          <w:p>
            <w:pPr>
              <w:pStyle w:val="ListParagraph"/>
              <w:numPr>
                <w:ilvl w:val="0"/>
                <w:numId w:val="3"/>
              </w:numPr>
              <w:spacing w:after="40"/>
            </w:pPr>
            <w:r>
              <w:rPr>
                <w:sz w:val="17"/>
                <w:szCs w:val="17"/>
              </w:rPr>
              <w:t xml:space="preserve">Neat line, north arrow and scale bar (1)</w:t>
            </w:r>
          </w:p>
          <w:p>
            <w:pPr>
              <w:pStyle w:val="ListParagraph"/>
              <w:numPr>
                <w:ilvl w:val="0"/>
                <w:numId w:val="3"/>
              </w:numPr>
              <w:spacing w:after="40"/>
            </w:pPr>
            <w:r>
              <w:rPr>
                <w:sz w:val="17"/>
                <w:szCs w:val="17"/>
              </w:rPr>
              <w:t xml:space="preserve">Text box with author, date, map projection, and the satellite, scene and acquisition date (1)</w:t>
            </w:r>
          </w:p>
          <w:p>
            <w:pPr>
              <w:pStyle w:val="ListParagraph"/>
              <w:numPr>
                <w:ilvl w:val="0"/>
                <w:numId w:val="3"/>
              </w:numPr>
              <w:spacing w:after="40"/>
            </w:pPr>
            <w:r>
              <w:rPr>
                <w:sz w:val="17"/>
                <w:szCs w:val="17"/>
              </w:rPr>
              <w:t xml:space="preserve">The classified raster, irrigated versus non-irrigated land clearly symbolized, with a legend (2)</w:t>
            </w:r>
          </w:p>
          <w:p>
            <w:pPr>
              <w:pStyle w:val="ListParagraph"/>
              <w:numPr>
                <w:ilvl w:val="0"/>
                <w:numId w:val="3"/>
              </w:numPr>
              <w:spacing w:after="40"/>
            </w:pPr>
            <w:r>
              <w:rPr>
                <w:sz w:val="17"/>
                <w:szCs w:val="17"/>
              </w:rPr>
              <w:t xml:space="preserve">County polygon and a few labeled cities or towns (1)</w:t>
            </w:r>
          </w:p>
          <w:p>
            <w:pPr>
              <w:pStyle w:val="ListParagraph"/>
              <w:numPr>
                <w:ilvl w:val="0"/>
                <w:numId w:val="3"/>
              </w:numPr>
              <w:spacing w:after="40"/>
            </w:pPr>
            <w:r>
              <w:rPr>
                <w:sz w:val="17"/>
                <w:szCs w:val="17"/>
              </w:rPr>
              <w:t xml:space="preserve">An inset of the center-pivot area (2)</w:t>
            </w:r>
          </w:p>
          <w:p>
            <w:pPr>
              <w:pStyle w:val="ListParagraph"/>
              <w:numPr>
                <w:ilvl w:val="0"/>
                <w:numId w:val="3"/>
              </w:numPr>
              <w:spacing w:after="40"/>
            </w:pPr>
            <w:r>
              <w:rPr>
                <w:sz w:val="17"/>
                <w:szCs w:val="17"/>
              </w:rPr>
              <w:t xml:space="preserve">Basemap visible, zoomed to an appropriate scale, and all text legible when printed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Map 2 — one Step 6 scenario (full page, 8.5 × 11)</w:t>
            </w:r>
          </w:p>
          <w:p>
            <w:pPr>
              <w:pStyle w:val="ListParagraph"/>
              <w:numPr>
                <w:ilvl w:val="0"/>
                <w:numId w:val="3"/>
              </w:numPr>
              <w:spacing w:after="40"/>
            </w:pPr>
            <w:r>
              <w:rPr>
                <w:sz w:val="17"/>
                <w:szCs w:val="17"/>
              </w:rPr>
              <w:t xml:space="preserve">Title stating the threshold used (1)</w:t>
            </w:r>
          </w:p>
          <w:p>
            <w:pPr>
              <w:pStyle w:val="ListParagraph"/>
              <w:numPr>
                <w:ilvl w:val="0"/>
                <w:numId w:val="3"/>
              </w:numPr>
              <w:spacing w:after="40"/>
            </w:pPr>
            <w:r>
              <w:rPr>
                <w:sz w:val="17"/>
                <w:szCs w:val="17"/>
              </w:rPr>
              <w:t xml:space="preserve">Neat line, north arrow and scale bar (1)</w:t>
            </w:r>
          </w:p>
          <w:p>
            <w:pPr>
              <w:pStyle w:val="ListParagraph"/>
              <w:numPr>
                <w:ilvl w:val="0"/>
                <w:numId w:val="3"/>
              </w:numPr>
              <w:spacing w:after="40"/>
            </w:pPr>
            <w:r>
              <w:rPr>
                <w:sz w:val="17"/>
                <w:szCs w:val="17"/>
              </w:rPr>
              <w:t xml:space="preserve">Text box with author, date, map projection, and the satellite, scene and acquisition date (1)</w:t>
            </w:r>
          </w:p>
          <w:p>
            <w:pPr>
              <w:pStyle w:val="ListParagraph"/>
              <w:numPr>
                <w:ilvl w:val="0"/>
                <w:numId w:val="3"/>
              </w:numPr>
              <w:spacing w:after="40"/>
            </w:pPr>
            <w:r>
              <w:rPr>
                <w:sz w:val="17"/>
                <w:szCs w:val="17"/>
              </w:rPr>
              <w:t xml:space="preserve">The classified raster, irrigated versus non-irrigated land clearly symbolized, with a legend (2)</w:t>
            </w:r>
          </w:p>
          <w:p>
            <w:pPr>
              <w:pStyle w:val="ListParagraph"/>
              <w:numPr>
                <w:ilvl w:val="0"/>
                <w:numId w:val="3"/>
              </w:numPr>
              <w:spacing w:after="40"/>
            </w:pPr>
            <w:r>
              <w:rPr>
                <w:sz w:val="17"/>
                <w:szCs w:val="17"/>
              </w:rPr>
              <w:t xml:space="preserve">County polygon and a few labeled cities or towns (1)</w:t>
            </w:r>
          </w:p>
          <w:p>
            <w:pPr>
              <w:pStyle w:val="ListParagraph"/>
              <w:numPr>
                <w:ilvl w:val="0"/>
                <w:numId w:val="3"/>
              </w:numPr>
              <w:spacing w:after="40"/>
            </w:pPr>
            <w:r>
              <w:rPr>
                <w:sz w:val="17"/>
                <w:szCs w:val="17"/>
              </w:rPr>
              <w:t xml:space="preserve">Basemap visible, zoomed to an appropriate scale, and all text legible when printed (2)</w:t>
            </w:r>
          </w:p>
          <w:p>
            <w:pPr>
              <w:pStyle w:val="ListParagraph"/>
              <w:numPr>
                <w:ilvl w:val="0"/>
                <w:numId w:val="3"/>
              </w:numPr>
              <w:spacing w:after="40"/>
            </w:pPr>
            <w:r>
              <w:rPr>
                <w:sz w:val="17"/>
                <w:szCs w:val="17"/>
              </w:rPr>
              <w:t xml:space="preserve">The title and text box say what the threshold was changed to and why you chose this run to show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Threshold sensitivity (Step 6)</w:t>
            </w:r>
          </w:p>
          <w:p>
            <w:pPr>
              <w:pStyle w:val="ListParagraph"/>
              <w:numPr>
                <w:ilvl w:val="0"/>
                <w:numId w:val="3"/>
              </w:numPr>
              <w:spacing w:after="40"/>
            </w:pPr>
            <w:r>
              <w:rPr>
                <w:sz w:val="17"/>
                <w:szCs w:val="17"/>
              </w:rPr>
              <w:t xml:space="preserve">A table of at least three additional runs, giving the threshold, the cells in class 1 and the area for each (4)</w:t>
            </w:r>
          </w:p>
          <w:p>
            <w:pPr>
              <w:pStyle w:val="ListParagraph"/>
              <w:numPr>
                <w:ilvl w:val="0"/>
                <w:numId w:val="3"/>
              </w:numPr>
              <w:spacing w:after="40"/>
            </w:pPr>
            <w:r>
              <w:rPr>
                <w:sz w:val="17"/>
                <w:szCs w:val="17"/>
              </w:rPr>
              <w:t xml:space="preserve">Which threshold best matches fields you can verify, supported by NDVI values you read (2)</w:t>
            </w:r>
          </w:p>
          <w:p>
            <w:pPr>
              <w:pStyle w:val="ListParagraph"/>
              <w:numPr>
                <w:ilvl w:val="0"/>
                <w:numId w:val="3"/>
              </w:numPr>
              <w:spacing w:after="40"/>
            </w:pPr>
            <w:r>
              <w:rPr>
                <w:sz w:val="17"/>
                <w:szCs w:val="17"/>
              </w:rPr>
              <w:t xml:space="preserve">Where the forest drops out and what drops out with it (2)</w:t>
            </w:r>
          </w:p>
          <w:p>
            <w:pPr>
              <w:pStyle w:val="ListParagraph"/>
              <w:numPr>
                <w:ilvl w:val="0"/>
                <w:numId w:val="3"/>
              </w:numPr>
              <w:spacing w:after="40"/>
            </w:pPr>
            <w:r>
              <w:rPr>
                <w:sz w:val="17"/>
                <w:szCs w:val="17"/>
              </w:rPr>
              <w:t xml:space="preserve">Whether a single threshold is enough, and what you would add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shd w:fill="D9E2F3" w:color="auto" w:val="clear"/>
            <w:tcMar>
              <w:top w:type="dxa" w:w="90"/>
              <w:left w:type="dxa" w:w="120"/>
              <w:bottom w:type="dxa" w:w="90"/>
              <w:right w:type="dxa" w:w="120"/>
            </w:tcMar>
          </w:tcPr>
          <w:p>
            <w:pPr>
              <w:spacing w:after="0"/>
            </w:pPr>
            <w:r>
              <w:rPr>
                <w:b/>
                <w:bCs/>
                <w:sz w:val="19"/>
                <w:szCs w:val="19"/>
              </w:rPr>
              <w:t xml:space="preserve">Total</w:t>
            </w:r>
          </w:p>
        </w:tc>
        <w:tc>
          <w:tcPr>
            <w:tcW w:type="dxa" w:w="900"/>
            <w:shd w:fill="D9E2F3" w:color="auto" w:val="clear"/>
            <w:tcMar>
              <w:top w:type="dxa" w:w="90"/>
              <w:left w:type="dxa" w:w="120"/>
              <w:bottom w:type="dxa" w:w="90"/>
              <w:right w:type="dxa" w:w="120"/>
            </w:tcMar>
          </w:tcPr>
          <w:p>
            <w:pPr>
              <w:jc w:val="center"/>
            </w:pPr>
            <w:r>
              <w:rPr>
                <w:b/>
                <w:bCs/>
                <w:sz w:val="19"/>
                <w:szCs w:val="19"/>
              </w:rPr>
              <w:t xml:space="preserve">50</w:t>
            </w:r>
          </w:p>
        </w:tc>
        <w:tc>
          <w:tcPr>
            <w:tcW w:type="dxa" w:w="1260"/>
            <w:shd w:fill="D9E2F3" w:color="auto" w:val="clear"/>
            <w:tcMar>
              <w:top w:type="dxa" w:w="90"/>
              <w:left w:type="dxa" w:w="120"/>
              <w:bottom w:type="dxa" w:w="90"/>
              <w:right w:type="dxa" w:w="120"/>
            </w:tcMar>
          </w:tcPr>
          <w:p>
            <w:pPr>
              <w:jc w:val="center"/>
            </w:pPr>
            <w:r>
              <w:rPr>
                <w:b/>
                <w:bCs/>
                <w:sz w:val="19"/>
                <w:szCs w:val="19"/>
                <w:highlight w:val="yellow"/>
              </w:rPr>
              <w:t xml:space="preserve">___ / 50</w:t>
            </w:r>
          </w:p>
        </w:tc>
      </w:tr>
      <w:tr>
        <w:trPr>
          <w:cantSplit/>
        </w:trPr>
        <w:tc>
          <w:tcPr>
            <w:tcW w:type="dxa" w:w="7200"/>
            <w:tcMar>
              <w:top w:type="dxa" w:w="90"/>
              <w:left w:type="dxa" w:w="120"/>
              <w:bottom w:type="dxa" w:w="90"/>
              <w:right w:type="dxa" w:w="120"/>
            </w:tcMar>
          </w:tcPr>
          <w:p>
            <w:pPr>
              <w:spacing w:after="60"/>
            </w:pPr>
            <w:r>
              <w:rPr>
                <w:b/>
                <w:bCs/>
                <w:sz w:val="19"/>
                <w:szCs w:val="19"/>
              </w:rPr>
              <w:t xml:space="preserve">Extra credit — the Magic Valley extract (see Going further in the Data section)</w:t>
            </w:r>
          </w:p>
          <w:p>
            <w:pPr>
              <w:pStyle w:val="ListParagraph"/>
              <w:numPr>
                <w:ilvl w:val="0"/>
                <w:numId w:val="3"/>
              </w:numPr>
              <w:spacing w:after="40"/>
            </w:pPr>
            <w:r>
              <w:rPr>
                <w:sz w:val="17"/>
                <w:szCs w:val="17"/>
              </w:rPr>
              <w:t xml:space="preserve">Your model run on the Magic Valley extract at your chosen threshold, with the cells and area of class 1 reported (1)</w:t>
            </w:r>
          </w:p>
          <w:p>
            <w:pPr>
              <w:pStyle w:val="ListParagraph"/>
              <w:numPr>
                <w:ilvl w:val="0"/>
                <w:numId w:val="3"/>
              </w:numPr>
              <w:spacing w:after="40"/>
            </w:pPr>
            <w:r>
              <w:rPr>
                <w:sz w:val="17"/>
                <w:szCs w:val="17"/>
              </w:rPr>
              <w:t xml:space="preserve">NDVI read at a pivot you can verify is irrigated and at ground you can verify is not, and whether your threshold sits between them (2)</w:t>
            </w:r>
          </w:p>
          <w:p>
            <w:pPr>
              <w:pStyle w:val="ListParagraph"/>
              <w:numPr>
                <w:ilvl w:val="0"/>
                <w:numId w:val="3"/>
              </w:numPr>
              <w:spacing w:after="40"/>
            </w:pPr>
            <w:r>
              <w:rPr>
                <w:sz w:val="17"/>
                <w:szCs w:val="17"/>
              </w:rPr>
              <w:t xml:space="preserve">A map or figure of the result (1)</w:t>
            </w:r>
          </w:p>
          <w:p>
            <w:pPr>
              <w:pStyle w:val="ListParagraph"/>
              <w:numPr>
                <w:ilvl w:val="0"/>
                <w:numId w:val="3"/>
              </w:numPr>
              <w:spacing w:after="40"/>
            </w:pPr>
            <w:r>
              <w:rPr>
                <w:sz w:val="17"/>
                <w:szCs w:val="17"/>
              </w:rPr>
              <w:t xml:space="preserve">A paragraph: does your threshold transfer, and what in that landscape explains why or why not (1)</w:t>
            </w:r>
          </w:p>
        </w:tc>
        <w:tc>
          <w:tcPr>
            <w:tcW w:type="dxa" w:w="900"/>
            <w:tcMar>
              <w:top w:type="dxa" w:w="90"/>
              <w:left w:type="dxa" w:w="120"/>
              <w:bottom w:type="dxa" w:w="90"/>
              <w:right w:type="dxa" w:w="120"/>
            </w:tcMar>
          </w:tcPr>
          <w:p>
            <w:pPr>
              <w:jc w:val="center"/>
            </w:pPr>
            <w:r>
              <w:rPr>
                <w:b w:val="false"/>
                <w:bCs w:val="false"/>
                <w:sz w:val="19"/>
                <w:szCs w:val="19"/>
              </w:rPr>
              <w:t xml:space="preserve">up to +5</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w:t>
            </w:r>
          </w:p>
        </w:tc>
      </w:tr>
    </w:tbl>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240" w:hanging="160"/>
      </w:pPr>
    </w:lvl>
  </w:abstractNum>
  <w:abstractNum w:abstractNumId="3" w15:restartNumberingAfterBreak="0">
    <w:multiLevelType w:val="hybridMultilevel"/>
    <w:lvl w:ilvl="0" w:tentative="1">
      <w:start w:val="1"/>
      <w:numFmt w:val="bullet"/>
      <w:lvlText w:val="☐"/>
      <w:lvlJc w:val="left"/>
      <w:pPr>
        <w:ind w:left="360" w:hanging="28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2"/>
        <w:szCs w:val="22"/>
      </w:rPr>
    </w:rPrDefault>
    <w:pPrDefault>
      <w:pPr>
        <w:spacing w:after="14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spacing w:after="80" w:before="280"/>
    </w:pPr>
    <w:rPr>
      <w:rFonts w:ascii="Calibri" w:cs="Calibri" w:eastAsia="Calibri" w:hAnsi="Calibri"/>
      <w:b/>
      <w:bCs/>
      <w:color w:val="1F3864"/>
      <w:sz w:val="28"/>
      <w:szCs w:val="28"/>
    </w:rPr>
  </w:style>
  <w:style w:type="paragraph" w:styleId="Heading2">
    <w:name w:val="Heading 2"/>
    <w:basedOn w:val="Normal"/>
    <w:next w:val="Normal"/>
    <w:qFormat/>
    <w:pPr>
      <w:spacing w:after="60" w:before="220"/>
    </w:pPr>
    <w:rPr>
      <w:rFonts w:ascii="Calibri" w:cs="Calibri" w:eastAsia="Calibri" w:hAnsi="Calibri"/>
      <w:b/>
      <w:bCs/>
      <w:color w:val="1F3864"/>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aption">
    <w:name w:val="Caption"/>
    <w:basedOn w:val="Normal"/>
    <w:next w:val="Normal"/>
    <w:qFormat/>
    <w:pPr>
      <w:spacing w:after="240" w:before="100"/>
      <w:jc w:val="left"/>
    </w:pPr>
    <w:rPr>
      <w:rFonts w:ascii="Calibri" w:cs="Calibri" w:eastAsia="Calibri" w:hAnsi="Calibri"/>
      <w:b/>
      <w:bCs/>
      <w:color w:val="1F3864"/>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2: NDVI report template</dc:title>
  <dc:creator>CE 414 — Engineering Applications of GIS</dc:creator>
  <dc:description>Fillable lab report template. Replace every yellow placeholder and delete the gray instructions.</dc:description>
  <cp:lastModifiedBy>Un-named</cp:lastModifiedBy>
  <cp:revision>1</cp:revision>
  <dcterms:created xsi:type="dcterms:W3CDTF">2026-10-06T05:15:06.340Z</dcterms:created>
  <dcterms:modified xsi:type="dcterms:W3CDTF">2026-10-06T05:15:06.340Z</dcterms:modified>
</cp:coreProperties>
</file>

<file path=docProps/custom.xml><?xml version="1.0" encoding="utf-8"?>
<Properties xmlns="http://schemas.openxmlformats.org/officeDocument/2006/custom-properties" xmlns:vt="http://schemas.openxmlformats.org/officeDocument/2006/docPropsVTypes"/>
</file>