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5: Watershed Delineation</w:t>
      </w:r>
    </w:p>
    <w:p>
      <w:pPr>
        <w:spacing w:after="420"/>
        <w:jc w:val="center"/>
      </w:pPr>
      <w:r>
        <w:rPr>
          <w:color w:val="1F3864"/>
          <w:sz w:val="32"/>
          <w:szCs w:val="32"/>
        </w:rPr>
        <w:t xml:space="preserve">Extracting streams and watersheds from a DEM</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were asked to produce and how you went about it — not a retelling of the step-by-step.</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Data and Metadata</w:t>
      </w:r>
    </w:p>
    <w:p>
      <w:pPr>
        <w:spacing w:after="160" w:before="60"/>
      </w:pPr>
      <w:r>
        <w:rPr>
          <w:i/>
          <w:iCs/>
          <w:color w:val="767171"/>
          <w:sz w:val="19"/>
          <w:szCs w:val="19"/>
        </w:rPr>
        <w:t xml:space="preserve">Rubric: the four metadata values from Figure A and what each one means for your result (2 points). Confirm the first three from READ-ME-FIRST.txt and the tile’s metadata file, and the fourth from UGRC’s page for the NHD layer — do not copy them from the figure.</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2400"/>
        <w:gridCol w:w="4260"/>
      </w:tblGrid>
      <w:tr>
        <w:trPr>
          <w:cantSplit/>
          <w:tblHeader/>
        </w:trPr>
        <w:tc>
          <w:tcPr>
            <w:tcW w:type="dxa" w:w="2700"/>
            <w:shd w:fill="D9E2F3" w:color="auto" w:val="clear"/>
            <w:tcMar>
              <w:top w:type="dxa" w:w="90"/>
              <w:left w:type="dxa" w:w="120"/>
              <w:bottom w:type="dxa" w:w="90"/>
              <w:right w:type="dxa" w:w="120"/>
            </w:tcMar>
          </w:tcPr>
          <w:p>
            <w:r>
              <w:rPr>
                <w:b/>
                <w:bCs/>
                <w:color w:val="1F3864"/>
                <w:sz w:val="19"/>
                <w:szCs w:val="19"/>
              </w:rPr>
              <w:t xml:space="preserve">Metadata 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2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700"/>
            <w:tcMar>
              <w:top w:type="dxa" w:w="90"/>
              <w:left w:type="dxa" w:w="120"/>
              <w:bottom w:type="dxa" w:w="90"/>
              <w:right w:type="dxa" w:w="120"/>
            </w:tcMar>
          </w:tcPr>
          <w:p>
            <w:r>
              <w:rPr>
                <w:color w:val="000000"/>
                <w:sz w:val="19"/>
                <w:szCs w:val="19"/>
              </w:rPr>
              <w:t xml:space="preserve">DEM publication date</w:t>
            </w:r>
          </w:p>
        </w:tc>
        <w:tc>
          <w:tcPr>
            <w:tcW w:type="dxa" w:w="2400"/>
            <w:tcMar>
              <w:top w:type="dxa" w:w="90"/>
              <w:left w:type="dxa" w:w="120"/>
              <w:bottom w:type="dxa" w:w="90"/>
              <w:right w:type="dxa" w:w="120"/>
            </w:tcMar>
          </w:tcPr>
          <w:p>
            <w:r>
              <w:rPr>
                <w:color w:val="767171"/>
                <w:sz w:val="19"/>
                <w:szCs w:val="19"/>
              </w:rPr>
              <w:t xml:space="preserve"> </w:t>
            </w:r>
          </w:p>
        </w:tc>
        <w:tc>
          <w:tcPr>
            <w:tcW w:type="dxa" w:w="4260"/>
            <w:tcMar>
              <w:top w:type="dxa" w:w="90"/>
              <w:left w:type="dxa" w:w="120"/>
              <w:bottom w:type="dxa" w:w="90"/>
              <w:right w:type="dxa" w:w="120"/>
            </w:tcMar>
          </w:tcPr>
          <w:p>
            <w:r>
              <w:rPr>
                <w:color w:val="767171"/>
                <w:sz w:val="19"/>
                <w:szCs w:val="19"/>
              </w:rPr>
              <w:t xml:space="preserve"> </w:t>
            </w:r>
          </w:p>
        </w:tc>
      </w:tr>
      <w:tr>
        <w:trPr>
          <w:cantSplit/>
        </w:trPr>
        <w:tc>
          <w:tcPr>
            <w:tcW w:type="dxa" w:w="2700"/>
            <w:shd w:fill="F2F2F2" w:color="auto" w:val="clear"/>
            <w:tcMar>
              <w:top w:type="dxa" w:w="90"/>
              <w:left w:type="dxa" w:w="120"/>
              <w:bottom w:type="dxa" w:w="90"/>
              <w:right w:type="dxa" w:w="120"/>
            </w:tcMar>
          </w:tcPr>
          <w:p>
            <w:r>
              <w:rPr>
                <w:color w:val="000000"/>
                <w:sz w:val="19"/>
                <w:szCs w:val="19"/>
              </w:rPr>
              <w:t xml:space="preserve">Range of source dates in the DEM</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700"/>
            <w:tcMar>
              <w:top w:type="dxa" w:w="90"/>
              <w:left w:type="dxa" w:w="120"/>
              <w:bottom w:type="dxa" w:w="90"/>
              <w:right w:type="dxa" w:w="120"/>
            </w:tcMar>
          </w:tcPr>
          <w:p>
            <w:r>
              <w:rPr>
                <w:color w:val="000000"/>
                <w:sz w:val="19"/>
                <w:szCs w:val="19"/>
              </w:rPr>
              <w:t xml:space="preserve">DEM vertical datum</w:t>
            </w:r>
          </w:p>
        </w:tc>
        <w:tc>
          <w:tcPr>
            <w:tcW w:type="dxa" w:w="2400"/>
            <w:tcMar>
              <w:top w:type="dxa" w:w="90"/>
              <w:left w:type="dxa" w:w="120"/>
              <w:bottom w:type="dxa" w:w="90"/>
              <w:right w:type="dxa" w:w="120"/>
            </w:tcMar>
          </w:tcPr>
          <w:p>
            <w:r>
              <w:rPr>
                <w:color w:val="767171"/>
                <w:sz w:val="19"/>
                <w:szCs w:val="19"/>
              </w:rPr>
              <w:t xml:space="preserve"> </w:t>
            </w:r>
          </w:p>
        </w:tc>
        <w:tc>
          <w:tcPr>
            <w:tcW w:type="dxa" w:w="4260"/>
            <w:tcMar>
              <w:top w:type="dxa" w:w="90"/>
              <w:left w:type="dxa" w:w="120"/>
              <w:bottom w:type="dxa" w:w="90"/>
              <w:right w:type="dxa" w:w="120"/>
            </w:tcMar>
          </w:tcPr>
          <w:p>
            <w:r>
              <w:rPr>
                <w:color w:val="767171"/>
                <w:sz w:val="19"/>
                <w:szCs w:val="19"/>
              </w:rPr>
              <w:t xml:space="preserve"> </w:t>
            </w:r>
          </w:p>
        </w:tc>
      </w:tr>
      <w:tr>
        <w:trPr>
          <w:cantSplit/>
        </w:trPr>
        <w:tc>
          <w:tcPr>
            <w:tcW w:type="dxa" w:w="2700"/>
            <w:shd w:fill="F2F2F2" w:color="auto" w:val="clear"/>
            <w:tcMar>
              <w:top w:type="dxa" w:w="90"/>
              <w:left w:type="dxa" w:w="120"/>
              <w:bottom w:type="dxa" w:w="90"/>
              <w:right w:type="dxa" w:w="120"/>
            </w:tcMar>
          </w:tcPr>
          <w:p>
            <w:r>
              <w:rPr>
                <w:color w:val="000000"/>
                <w:sz w:val="19"/>
                <w:szCs w:val="19"/>
              </w:rPr>
              <w:t xml:space="preserve">NHD last update</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2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DEM and the NHD.</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its settings, and every input, intermediate and output dataset with its type (point, line, polygon, raster) and source (2 points). One row per tool, in the order they run; the tool names are filled in for you, starting with Project Raster (run once, outside the model). Fill both the Type and the Source column.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2100"/>
        <w:gridCol w:w="2100"/>
        <w:gridCol w:w="1500"/>
        <w:gridCol w:w="1000"/>
        <w:gridCol w:w="1260"/>
      </w:tblGrid>
      <w:tr>
        <w:trPr>
          <w:cantSplit/>
          <w:tblHeader/>
        </w:trPr>
        <w:tc>
          <w:tcPr>
            <w:tcW w:type="dxa" w:w="14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1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5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000"/>
            <w:shd w:fill="D9E2F3" w:color="auto" w:val="clear"/>
            <w:tcMar>
              <w:top w:type="dxa" w:w="90"/>
              <w:left w:type="dxa" w:w="120"/>
              <w:bottom w:type="dxa" w:w="90"/>
              <w:right w:type="dxa" w:w="120"/>
            </w:tcMar>
          </w:tcPr>
          <w:p>
            <w:r>
              <w:rPr>
                <w:b/>
                <w:bCs/>
                <w:color w:val="1F3864"/>
                <w:sz w:val="19"/>
                <w:szCs w:val="19"/>
              </w:rPr>
              <w:t xml:space="preserve">Type</w:t>
            </w:r>
          </w:p>
        </w:tc>
        <w:tc>
          <w:tcPr>
            <w:tcW w:type="dxa" w:w="1260"/>
            <w:shd w:fill="D9E2F3" w:color="auto" w:val="clear"/>
            <w:tcMar>
              <w:top w:type="dxa" w:w="90"/>
              <w:left w:type="dxa" w:w="120"/>
              <w:bottom w:type="dxa" w:w="90"/>
              <w:right w:type="dxa" w:w="120"/>
            </w:tcMar>
          </w:tcPr>
          <w:p>
            <w:r>
              <w:rPr>
                <w:b/>
                <w:bCs/>
                <w:color w:val="1F3864"/>
                <w:sz w:val="19"/>
                <w:szCs w:val="19"/>
              </w:rPr>
              <w:t xml:space="preserve">Source</w:t>
            </w:r>
          </w:p>
        </w:tc>
      </w:tr>
      <w:tr>
        <w:trPr>
          <w:cantSplit/>
        </w:trPr>
        <w:tc>
          <w:tcPr>
            <w:tcW w:type="dxa" w:w="1400"/>
            <w:tcMar>
              <w:top w:type="dxa" w:w="90"/>
              <w:left w:type="dxa" w:w="120"/>
              <w:bottom w:type="dxa" w:w="90"/>
              <w:right w:type="dxa" w:w="120"/>
            </w:tcMar>
          </w:tcPr>
          <w:p>
            <w:r>
              <w:rPr>
                <w:color w:val="000000"/>
                <w:sz w:val="19"/>
                <w:szCs w:val="19"/>
              </w:rPr>
              <w:t xml:space="preserve">Project Raster (once, outside the model)</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000000"/>
                <w:sz w:val="19"/>
                <w:szCs w:val="19"/>
              </w:rPr>
              <w:t xml:space="preserve">Fill</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400"/>
            <w:tcMar>
              <w:top w:type="dxa" w:w="90"/>
              <w:left w:type="dxa" w:w="120"/>
              <w:bottom w:type="dxa" w:w="90"/>
              <w:right w:type="dxa" w:w="120"/>
            </w:tcMar>
          </w:tcPr>
          <w:p>
            <w:r>
              <w:rPr>
                <w:color w:val="000000"/>
                <w:sz w:val="19"/>
                <w:szCs w:val="19"/>
              </w:rPr>
              <w:t xml:space="preserve">Flow Direction</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000000"/>
                <w:sz w:val="19"/>
                <w:szCs w:val="19"/>
              </w:rPr>
              <w:t xml:space="preserve">Flow Accumulation</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400"/>
            <w:tcMar>
              <w:top w:type="dxa" w:w="90"/>
              <w:left w:type="dxa" w:w="120"/>
              <w:bottom w:type="dxa" w:w="90"/>
              <w:right w:type="dxa" w:w="120"/>
            </w:tcMar>
          </w:tcPr>
          <w:p>
            <w:r>
              <w:rPr>
                <w:color w:val="000000"/>
                <w:sz w:val="19"/>
                <w:szCs w:val="19"/>
              </w:rPr>
              <w:t xml:space="preserve">Snap Pour Point</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000000"/>
                <w:sz w:val="19"/>
                <w:szCs w:val="19"/>
              </w:rPr>
              <w:t xml:space="preserve">Watershed</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400"/>
            <w:tcMar>
              <w:top w:type="dxa" w:w="90"/>
              <w:left w:type="dxa" w:w="120"/>
              <w:bottom w:type="dxa" w:w="90"/>
              <w:right w:type="dxa" w:w="120"/>
            </w:tcMar>
          </w:tcPr>
          <w:p>
            <w:r>
              <w:rPr>
                <w:color w:val="000000"/>
                <w:sz w:val="19"/>
                <w:szCs w:val="19"/>
              </w:rPr>
              <w:t xml:space="preserve">Raster to Polygon</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000000"/>
                <w:sz w:val="19"/>
                <w:szCs w:val="19"/>
              </w:rPr>
              <w:t xml:space="preserve">Raster Calculator</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400"/>
            <w:tcMar>
              <w:top w:type="dxa" w:w="90"/>
              <w:left w:type="dxa" w:w="120"/>
              <w:bottom w:type="dxa" w:w="90"/>
              <w:right w:type="dxa" w:w="120"/>
            </w:tcMar>
          </w:tcPr>
          <w:p>
            <w:r>
              <w:rPr>
                <w:color w:val="000000"/>
                <w:sz w:val="19"/>
                <w:szCs w:val="19"/>
              </w:rPr>
              <w:t xml:space="preserve">Stream Link</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000000"/>
                <w:sz w:val="19"/>
                <w:szCs w:val="19"/>
              </w:rPr>
              <w:t xml:space="preserve">Stream to Feature</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400"/>
            <w:tcMar>
              <w:top w:type="dxa" w:w="90"/>
              <w:left w:type="dxa" w:w="120"/>
              <w:bottom w:type="dxa" w:w="90"/>
              <w:right w:type="dxa" w:w="120"/>
            </w:tcMar>
          </w:tcPr>
          <w:p>
            <w:r>
              <w:rPr>
                <w:color w:val="000000"/>
                <w:sz w:val="19"/>
                <w:szCs w:val="19"/>
              </w:rPr>
              <w:t xml:space="preserve">Watershed (2)</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000000"/>
                <w:sz w:val="19"/>
                <w:szCs w:val="19"/>
              </w:rPr>
              <w:t xml:space="preserve">Raster to Polygon (2)</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(8.5 × 11) figure of the model, exported from ModelBuilder and laid out so it reads in rows as Figure C does — every tool and dataset shown, labels informative, all text readable at 10 pt or larger (2 points).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 dialog with the threshold and the three outputs exposed as parameters, like Figure 12b (2 points). Open it from the Catalog pane after you save the model.</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 dialog, with the threshold and the three outputs exposed as parameters.</w:t>
      </w:r>
    </w:p>
    <w:p>
      <w:pPr>
        <w:pStyle w:val="Heading1"/>
        <w:spacing w:after="80" w:before="280"/>
      </w:pPr>
      <w:r>
        <w:rPr>
          <w:b/>
          <w:bCs/>
          <w:color w:val="1F3864"/>
          <w:sz w:val="28"/>
          <w:szCs w:val="28"/>
        </w:rPr>
        <w:t xml:space="preserve">4.  Checking the Result</w:t>
      </w:r>
    </w:p>
    <w:p>
      <w:pPr>
        <w:spacing w:after="160" w:before="60"/>
      </w:pPr>
      <w:r>
        <w:rPr>
          <w:i/>
          <w:iCs/>
          <w:color w:val="767171"/>
          <w:sz w:val="19"/>
          <w:szCs w:val="19"/>
        </w:rPr>
        <w:t xml:space="preserve">Rubric: the two checks from Step 13 — your basin area against StreamStats and your stream length against the NHD, with the numbers (2 points). Give both in the same units. Measure the NHD in UTM meters, not Web Mercator.</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800"/>
        <w:gridCol w:w="3000"/>
        <w:gridCol w:w="1760"/>
      </w:tblGrid>
      <w:tr>
        <w:trPr>
          <w:cantSplit/>
          <w:tblHeader/>
        </w:trPr>
        <w:tc>
          <w:tcPr>
            <w:tcW w:type="dxa" w:w="2800"/>
            <w:shd w:fill="D9E2F3" w:color="auto" w:val="clear"/>
            <w:tcMar>
              <w:top w:type="dxa" w:w="90"/>
              <w:left w:type="dxa" w:w="120"/>
              <w:bottom w:type="dxa" w:w="90"/>
              <w:right w:type="dxa" w:w="120"/>
            </w:tcMar>
          </w:tcPr>
          <w:p>
            <w:r>
              <w:rPr>
                <w:b/>
                <w:bCs/>
                <w:color w:val="1F3864"/>
                <w:sz w:val="19"/>
                <w:szCs w:val="19"/>
              </w:rPr>
              <w:t xml:space="preserve">Check</w:t>
            </w:r>
          </w:p>
        </w:tc>
        <w:tc>
          <w:tcPr>
            <w:tcW w:type="dxa" w:w="1800"/>
            <w:shd w:fill="D9E2F3" w:color="auto" w:val="clear"/>
            <w:tcMar>
              <w:top w:type="dxa" w:w="90"/>
              <w:left w:type="dxa" w:w="120"/>
              <w:bottom w:type="dxa" w:w="90"/>
              <w:right w:type="dxa" w:w="120"/>
            </w:tcMar>
          </w:tcPr>
          <w:p>
            <w:r>
              <w:rPr>
                <w:b/>
                <w:bCs/>
                <w:color w:val="1F3864"/>
                <w:sz w:val="19"/>
                <w:szCs w:val="19"/>
              </w:rPr>
              <w:t xml:space="preserve">Your model</w:t>
            </w:r>
          </w:p>
        </w:tc>
        <w:tc>
          <w:tcPr>
            <w:tcW w:type="dxa" w:w="3000"/>
            <w:shd w:fill="D9E2F3" w:color="auto" w:val="clear"/>
            <w:tcMar>
              <w:top w:type="dxa" w:w="90"/>
              <w:left w:type="dxa" w:w="120"/>
              <w:bottom w:type="dxa" w:w="90"/>
              <w:right w:type="dxa" w:w="120"/>
            </w:tcMar>
          </w:tcPr>
          <w:p>
            <w:r>
              <w:rPr>
                <w:b/>
                <w:bCs/>
                <w:color w:val="1F3864"/>
                <w:sz w:val="19"/>
                <w:szCs w:val="19"/>
              </w:rPr>
              <w:t xml:space="preserve">Independent source</w:t>
            </w:r>
          </w:p>
        </w:tc>
        <w:tc>
          <w:tcPr>
            <w:tcW w:type="dxa" w:w="1760"/>
            <w:shd w:fill="D9E2F3" w:color="auto" w:val="clear"/>
            <w:tcMar>
              <w:top w:type="dxa" w:w="90"/>
              <w:left w:type="dxa" w:w="120"/>
              <w:bottom w:type="dxa" w:w="90"/>
              <w:right w:type="dxa" w:w="120"/>
            </w:tcMar>
          </w:tcPr>
          <w:p>
            <w:r>
              <w:rPr>
                <w:b/>
                <w:bCs/>
                <w:color w:val="1F3864"/>
                <w:sz w:val="19"/>
                <w:szCs w:val="19"/>
              </w:rPr>
              <w:t xml:space="preserve">Difference</w:t>
            </w:r>
          </w:p>
        </w:tc>
      </w:tr>
      <w:tr>
        <w:trPr>
          <w:cantSplit/>
        </w:trPr>
        <w:tc>
          <w:tcPr>
            <w:tcW w:type="dxa" w:w="2800"/>
            <w:tcMar>
              <w:top w:type="dxa" w:w="90"/>
              <w:left w:type="dxa" w:w="120"/>
              <w:bottom w:type="dxa" w:w="90"/>
              <w:right w:type="dxa" w:w="120"/>
            </w:tcMar>
          </w:tcPr>
          <w:p>
            <w:r>
              <w:rPr>
                <w:color w:val="000000"/>
                <w:sz w:val="19"/>
                <w:szCs w:val="19"/>
              </w:rPr>
              <w:t xml:space="preserve">Basin area (km²)</w:t>
            </w:r>
          </w:p>
        </w:tc>
        <w:tc>
          <w:tcPr>
            <w:tcW w:type="dxa" w:w="1800"/>
            <w:tcMar>
              <w:top w:type="dxa" w:w="90"/>
              <w:left w:type="dxa" w:w="120"/>
              <w:bottom w:type="dxa" w:w="90"/>
              <w:right w:type="dxa" w:w="120"/>
            </w:tcMar>
          </w:tcPr>
          <w:p>
            <w:r>
              <w:rPr>
                <w:color w:val="767171"/>
                <w:sz w:val="19"/>
                <w:szCs w:val="19"/>
              </w:rPr>
              <w:t xml:space="preserve"> </w:t>
            </w:r>
          </w:p>
        </w:tc>
        <w:tc>
          <w:tcPr>
            <w:tcW w:type="dxa" w:w="3000"/>
            <w:tcMar>
              <w:top w:type="dxa" w:w="90"/>
              <w:left w:type="dxa" w:w="120"/>
              <w:bottom w:type="dxa" w:w="90"/>
              <w:right w:type="dxa" w:w="120"/>
            </w:tcMar>
          </w:tcPr>
          <w:p>
            <w:r>
              <w:rPr>
                <w:color w:val="000000"/>
                <w:sz w:val="19"/>
                <w:szCs w:val="19"/>
              </w:rPr>
              <w:t xml:space="preserve">StreamStats:</w:t>
            </w:r>
          </w:p>
        </w:tc>
        <w:tc>
          <w:tcPr>
            <w:tcW w:type="dxa" w:w="1760"/>
            <w:tcMar>
              <w:top w:type="dxa" w:w="90"/>
              <w:left w:type="dxa" w:w="120"/>
              <w:bottom w:type="dxa" w:w="90"/>
              <w:right w:type="dxa" w:w="120"/>
            </w:tcMar>
          </w:tcPr>
          <w:p>
            <w:r>
              <w:rPr>
                <w:color w:val="767171"/>
                <w:sz w:val="19"/>
                <w:szCs w:val="19"/>
              </w:rPr>
              <w:t xml:space="preserve"> </w:t>
            </w:r>
          </w:p>
        </w:tc>
      </w:tr>
      <w:tr>
        <w:trPr>
          <w:cantSplit/>
        </w:trPr>
        <w:tc>
          <w:tcPr>
            <w:tcW w:type="dxa" w:w="2800"/>
            <w:shd w:fill="F2F2F2" w:color="auto" w:val="clear"/>
            <w:tcMar>
              <w:top w:type="dxa" w:w="90"/>
              <w:left w:type="dxa" w:w="120"/>
              <w:bottom w:type="dxa" w:w="90"/>
              <w:right w:type="dxa" w:w="120"/>
            </w:tcMar>
          </w:tcPr>
          <w:p>
            <w:r>
              <w:rPr>
                <w:color w:val="000000"/>
                <w:sz w:val="19"/>
                <w:szCs w:val="19"/>
              </w:rPr>
              <w:t xml:space="preserve">Total stream length (km)</w:t>
            </w:r>
          </w:p>
        </w:tc>
        <w:tc>
          <w:tcPr>
            <w:tcW w:type="dxa" w:w="1800"/>
            <w:shd w:fill="F2F2F2" w:color="auto" w:val="clear"/>
            <w:tcMar>
              <w:top w:type="dxa" w:w="90"/>
              <w:left w:type="dxa" w:w="120"/>
              <w:bottom w:type="dxa" w:w="90"/>
              <w:right w:type="dxa" w:w="120"/>
            </w:tcMar>
          </w:tcPr>
          <w:p>
            <w:r>
              <w:rPr>
                <w:color w:val="767171"/>
                <w:sz w:val="19"/>
                <w:szCs w:val="19"/>
              </w:rPr>
              <w:t xml:space="preserve"> </w:t>
            </w:r>
          </w:p>
        </w:tc>
        <w:tc>
          <w:tcPr>
            <w:tcW w:type="dxa" w:w="3000"/>
            <w:shd w:fill="F2F2F2" w:color="auto" w:val="clear"/>
            <w:tcMar>
              <w:top w:type="dxa" w:w="90"/>
              <w:left w:type="dxa" w:w="120"/>
              <w:bottom w:type="dxa" w:w="90"/>
              <w:right w:type="dxa" w:w="120"/>
            </w:tcMar>
          </w:tcPr>
          <w:p>
            <w:r>
              <w:rPr>
                <w:color w:val="000000"/>
                <w:sz w:val="19"/>
                <w:szCs w:val="19"/>
              </w:rPr>
              <w:t xml:space="preserve">NHD, all lines:</w:t>
            </w:r>
          </w:p>
        </w:tc>
        <w:tc>
          <w:tcPr>
            <w:tcW w:type="dxa" w:w="17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800"/>
            <w:tcMar>
              <w:top w:type="dxa" w:w="90"/>
              <w:left w:type="dxa" w:w="120"/>
              <w:bottom w:type="dxa" w:w="90"/>
              <w:right w:type="dxa" w:w="120"/>
            </w:tcMar>
          </w:tcPr>
          <w:p>
            <w:r>
              <w:rPr>
                <w:color w:val="000000"/>
                <w:sz w:val="19"/>
                <w:szCs w:val="19"/>
              </w:rPr>
              <w:t xml:space="preserve">Perennial + intermittent length (km)</w:t>
            </w:r>
          </w:p>
        </w:tc>
        <w:tc>
          <w:tcPr>
            <w:tcW w:type="dxa" w:w="1800"/>
            <w:tcMar>
              <w:top w:type="dxa" w:w="90"/>
              <w:left w:type="dxa" w:w="120"/>
              <w:bottom w:type="dxa" w:w="90"/>
              <w:right w:type="dxa" w:w="120"/>
            </w:tcMar>
          </w:tcPr>
          <w:p>
            <w:r>
              <w:rPr>
                <w:color w:val="000000"/>
                <w:sz w:val="19"/>
                <w:szCs w:val="19"/>
              </w:rPr>
              <w:t xml:space="preserve">—</w:t>
            </w:r>
          </w:p>
        </w:tc>
        <w:tc>
          <w:tcPr>
            <w:tcW w:type="dxa" w:w="3000"/>
            <w:tcMar>
              <w:top w:type="dxa" w:w="90"/>
              <w:left w:type="dxa" w:w="120"/>
              <w:bottom w:type="dxa" w:w="90"/>
              <w:right w:type="dxa" w:w="120"/>
            </w:tcMar>
          </w:tcPr>
          <w:p>
            <w:r>
              <w:rPr>
                <w:color w:val="000000"/>
                <w:sz w:val="19"/>
                <w:szCs w:val="19"/>
              </w:rPr>
              <w:t xml:space="preserve">NHD, FCode 46006 + 46003:</w:t>
            </w:r>
          </w:p>
        </w:tc>
        <w:tc>
          <w:tcPr>
            <w:tcW w:type="dxa" w:w="1760"/>
            <w:tcMar>
              <w:top w:type="dxa" w:w="90"/>
              <w:left w:type="dxa" w:w="120"/>
              <w:bottom w:type="dxa" w:w="90"/>
              <w:right w:type="dxa" w:w="120"/>
            </w:tcMar>
          </w:tcPr>
          <w:p>
            <w:r>
              <w:rPr>
                <w:color w:val="000000"/>
                <w:sz w:val="19"/>
                <w:szCs w:val="19"/>
              </w:rPr>
              <w:t xml:space="preserve">—</w:t>
            </w:r>
          </w:p>
        </w:tc>
      </w:tr>
    </w:tbl>
    <w:p>
      <w:pPr>
        <w:pStyle w:val="Caption"/>
        <w:spacing w:after="240" w:before="100"/>
      </w:pPr>
      <w:r>
        <w:rPr>
          <w:b/>
          <w:bCs/>
          <w:color w:val="1F3864"/>
          <w:sz w:val="19"/>
          <w:szCs w:val="19"/>
        </w:rPr>
        <w:t xml:space="preserve">Table 3. Your model against two independent sources.</w:t>
      </w:r>
    </w:p>
    <w:p>
      <w:pPr>
        <w:pStyle w:val="Heading1"/>
        <w:spacing w:after="80" w:before="280"/>
      </w:pPr>
      <w:r>
        <w:rPr>
          <w:b/>
          <w:bCs/>
          <w:color w:val="1F3864"/>
          <w:sz w:val="28"/>
          <w:szCs w:val="28"/>
        </w:rPr>
        <w:t xml:space="preserve">5.  Where the Model Is Wrong</w:t>
      </w:r>
    </w:p>
    <w:p>
      <w:pPr>
        <w:spacing w:after="160" w:before="60"/>
      </w:pPr>
      <w:r>
        <w:rPr>
          <w:i/>
          <w:iCs/>
          <w:color w:val="767171"/>
          <w:sz w:val="19"/>
          <w:szCs w:val="19"/>
        </w:rPr>
        <w:t xml:space="preserve">Rubric: where the model is wrong, why, and what data would fix each problem (Step 13) (2 points). One row per problem. Start from the three places Step 13 names — the Provo bench, the NHD’s ephemeral lines, and culverts — or find your own.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3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Where</w:t>
            </w:r>
          </w:p>
        </w:tc>
        <w:tc>
          <w:tcPr>
            <w:tcW w:type="dxa" w:w="3400"/>
            <w:shd w:fill="D9E2F3" w:color="auto" w:val="clear"/>
            <w:tcMar>
              <w:top w:type="dxa" w:w="90"/>
              <w:left w:type="dxa" w:w="120"/>
              <w:bottom w:type="dxa" w:w="90"/>
              <w:right w:type="dxa" w:w="120"/>
            </w:tcMar>
          </w:tcPr>
          <w:p>
            <w:r>
              <w:rPr>
                <w:b/>
                <w:bCs/>
                <w:color w:val="1F3864"/>
                <w:sz w:val="19"/>
                <w:szCs w:val="19"/>
              </w:rPr>
              <w:t xml:space="preserve">Why it is wrong</w:t>
            </w:r>
          </w:p>
        </w:tc>
        <w:tc>
          <w:tcPr>
            <w:tcW w:type="dxa" w:w="3360"/>
            <w:shd w:fill="D9E2F3" w:color="auto" w:val="clear"/>
            <w:tcMar>
              <w:top w:type="dxa" w:w="90"/>
              <w:left w:type="dxa" w:w="120"/>
              <w:bottom w:type="dxa" w:w="90"/>
              <w:right w:type="dxa" w:w="120"/>
            </w:tcMar>
          </w:tcPr>
          <w:p>
            <w:r>
              <w:rPr>
                <w:b/>
                <w:bCs/>
                <w:color w:val="1F3864"/>
                <w:sz w:val="19"/>
                <w:szCs w:val="19"/>
              </w:rPr>
              <w:t xml:space="preserve">What data would fix it</w:t>
            </w:r>
          </w:p>
        </w:tc>
      </w:tr>
      <w:tr>
        <w:trPr>
          <w:cantSplit/>
        </w:trPr>
        <w:tc>
          <w:tcPr>
            <w:tcW w:type="dxa" w:w="2600"/>
            <w:tcMar>
              <w:top w:type="dxa" w:w="90"/>
              <w:left w:type="dxa" w:w="120"/>
              <w:bottom w:type="dxa" w:w="90"/>
              <w:right w:type="dxa" w:w="120"/>
            </w:tcMar>
          </w:tcPr>
          <w:p>
            <w:r>
              <w:rPr>
                <w:color w:val="767171"/>
                <w:sz w:val="19"/>
                <w:szCs w:val="19"/>
              </w:rPr>
              <w:t xml:space="preserve"> </w:t>
            </w:r>
          </w:p>
        </w:tc>
        <w:tc>
          <w:tcPr>
            <w:tcW w:type="dxa" w:w="3400"/>
            <w:tcMar>
              <w:top w:type="dxa" w:w="90"/>
              <w:left w:type="dxa" w:w="120"/>
              <w:bottom w:type="dxa" w:w="90"/>
              <w:right w:type="dxa" w:w="120"/>
            </w:tcMar>
          </w:tcPr>
          <w:p>
            <w:r>
              <w:rPr>
                <w:color w:val="767171"/>
                <w:sz w:val="19"/>
                <w:szCs w:val="19"/>
              </w:rPr>
              <w:t xml:space="preserve"> </w:t>
            </w:r>
          </w:p>
        </w:tc>
        <w:tc>
          <w:tcPr>
            <w:tcW w:type="dxa" w:w="3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767171"/>
                <w:sz w:val="19"/>
                <w:szCs w:val="19"/>
              </w:rPr>
              <w:t xml:space="preserve"> </w:t>
            </w:r>
          </w:p>
        </w:tc>
        <w:tc>
          <w:tcPr>
            <w:tcW w:type="dxa" w:w="3400"/>
            <w:shd w:fill="F2F2F2" w:color="auto" w:val="clear"/>
            <w:tcMar>
              <w:top w:type="dxa" w:w="90"/>
              <w:left w:type="dxa" w:w="120"/>
              <w:bottom w:type="dxa" w:w="90"/>
              <w:right w:type="dxa" w:w="120"/>
            </w:tcMar>
          </w:tcPr>
          <w:p>
            <w:r>
              <w:rPr>
                <w:color w:val="767171"/>
                <w:sz w:val="19"/>
                <w:szCs w:val="19"/>
              </w:rPr>
              <w:t xml:space="preserve"> </w:t>
            </w:r>
          </w:p>
        </w:tc>
        <w:tc>
          <w:tcPr>
            <w:tcW w:type="dxa" w:w="3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767171"/>
                <w:sz w:val="19"/>
                <w:szCs w:val="19"/>
              </w:rPr>
              <w:t xml:space="preserve"> </w:t>
            </w:r>
          </w:p>
        </w:tc>
        <w:tc>
          <w:tcPr>
            <w:tcW w:type="dxa" w:w="3400"/>
            <w:tcMar>
              <w:top w:type="dxa" w:w="90"/>
              <w:left w:type="dxa" w:w="120"/>
              <w:bottom w:type="dxa" w:w="90"/>
              <w:right w:type="dxa" w:w="120"/>
            </w:tcMar>
          </w:tcPr>
          <w:p>
            <w:r>
              <w:rPr>
                <w:color w:val="767171"/>
                <w:sz w:val="19"/>
                <w:szCs w:val="19"/>
              </w:rPr>
              <w:t xml:space="preserve"> </w:t>
            </w:r>
          </w:p>
        </w:tc>
        <w:tc>
          <w:tcPr>
            <w:tcW w:type="dxa" w:w="3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Where the model is wrong.</w:t>
      </w:r>
    </w:p>
    <w:p>
      <w:r>
        <w:br w:type="page"/>
      </w:r>
    </w:p>
    <w:p>
      <w:pPr>
        <w:pStyle w:val="Heading1"/>
        <w:spacing w:after="80" w:before="280"/>
      </w:pPr>
      <w:r>
        <w:rPr>
          <w:b/>
          <w:bCs/>
          <w:color w:val="1F3864"/>
          <w:sz w:val="28"/>
          <w:szCs w:val="28"/>
        </w:rPr>
        <w:t xml:space="preserve">6.  Sensitivity Analysis</w:t>
      </w:r>
    </w:p>
    <w:p>
      <w:pPr>
        <w:spacing w:after="160" w:before="60"/>
      </w:pPr>
      <w:r>
        <w:rPr>
          <w:i/>
          <w:iCs/>
          <w:color w:val="767171"/>
          <w:sz w:val="19"/>
          <w:szCs w:val="19"/>
        </w:rPr>
        <w:t xml:space="preserve">Rubric: one table with the baseline and at least three more thresholds, giving for each the threshold in cells and km², the basin area, the segments, the subwatersheds, the stream length, the mean subwatershed area and the drainage density, with the NHD as a reference row (4 points). Contributing area is threshold × 100 ÷ 1,000,000 km². The baseline row is part of the table.</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1150"/>
        <w:gridCol w:w="1050"/>
        <w:gridCol w:w="1000"/>
        <w:gridCol w:w="1150"/>
        <w:gridCol w:w="1150"/>
        <w:gridCol w:w="1260"/>
        <w:gridCol w:w="1200"/>
      </w:tblGrid>
      <w:tr>
        <w:trPr>
          <w:cantSplit/>
          <w:tblHeader/>
        </w:trPr>
        <w:tc>
          <w:tcPr>
            <w:tcW w:type="dxa" w:w="1400"/>
            <w:shd w:fill="D9E2F3" w:color="auto" w:val="clear"/>
            <w:tcMar>
              <w:top w:type="dxa" w:w="90"/>
              <w:left w:type="dxa" w:w="120"/>
              <w:bottom w:type="dxa" w:w="90"/>
              <w:right w:type="dxa" w:w="120"/>
            </w:tcMar>
          </w:tcPr>
          <w:p>
            <w:r>
              <w:rPr>
                <w:b/>
                <w:bCs/>
                <w:color w:val="1F3864"/>
                <w:sz w:val="15"/>
                <w:szCs w:val="15"/>
              </w:rPr>
              <w:t xml:space="preserve">Threshold (cells)</w:t>
            </w:r>
          </w:p>
        </w:tc>
        <w:tc>
          <w:tcPr>
            <w:tcW w:type="dxa" w:w="1150"/>
            <w:shd w:fill="D9E2F3" w:color="auto" w:val="clear"/>
            <w:tcMar>
              <w:top w:type="dxa" w:w="90"/>
              <w:left w:type="dxa" w:w="120"/>
              <w:bottom w:type="dxa" w:w="90"/>
              <w:right w:type="dxa" w:w="120"/>
            </w:tcMar>
          </w:tcPr>
          <w:p>
            <w:r>
              <w:rPr>
                <w:b/>
                <w:bCs/>
                <w:color w:val="1F3864"/>
                <w:sz w:val="15"/>
                <w:szCs w:val="15"/>
              </w:rPr>
              <w:t xml:space="preserve">Contributing area (km²)</w:t>
            </w:r>
          </w:p>
        </w:tc>
        <w:tc>
          <w:tcPr>
            <w:tcW w:type="dxa" w:w="1050"/>
            <w:shd w:fill="D9E2F3" w:color="auto" w:val="clear"/>
            <w:tcMar>
              <w:top w:type="dxa" w:w="90"/>
              <w:left w:type="dxa" w:w="120"/>
              <w:bottom w:type="dxa" w:w="90"/>
              <w:right w:type="dxa" w:w="120"/>
            </w:tcMar>
          </w:tcPr>
          <w:p>
            <w:r>
              <w:rPr>
                <w:b/>
                <w:bCs/>
                <w:color w:val="1F3864"/>
                <w:sz w:val="15"/>
                <w:szCs w:val="15"/>
              </w:rPr>
              <w:t xml:space="preserve">Basin area (km²)</w:t>
            </w:r>
          </w:p>
        </w:tc>
        <w:tc>
          <w:tcPr>
            <w:tcW w:type="dxa" w:w="1000"/>
            <w:shd w:fill="D9E2F3" w:color="auto" w:val="clear"/>
            <w:tcMar>
              <w:top w:type="dxa" w:w="90"/>
              <w:left w:type="dxa" w:w="120"/>
              <w:bottom w:type="dxa" w:w="90"/>
              <w:right w:type="dxa" w:w="120"/>
            </w:tcMar>
          </w:tcPr>
          <w:p>
            <w:r>
              <w:rPr>
                <w:b/>
                <w:bCs/>
                <w:color w:val="1F3864"/>
                <w:sz w:val="15"/>
                <w:szCs w:val="15"/>
              </w:rPr>
              <w:t xml:space="preserve">Segments</w:t>
            </w:r>
          </w:p>
        </w:tc>
        <w:tc>
          <w:tcPr>
            <w:tcW w:type="dxa" w:w="1150"/>
            <w:shd w:fill="D9E2F3" w:color="auto" w:val="clear"/>
            <w:tcMar>
              <w:top w:type="dxa" w:w="90"/>
              <w:left w:type="dxa" w:w="120"/>
              <w:bottom w:type="dxa" w:w="90"/>
              <w:right w:type="dxa" w:w="120"/>
            </w:tcMar>
          </w:tcPr>
          <w:p>
            <w:r>
              <w:rPr>
                <w:b/>
                <w:bCs/>
                <w:color w:val="1F3864"/>
                <w:sz w:val="15"/>
                <w:szCs w:val="15"/>
              </w:rPr>
              <w:t xml:space="preserve">Subwatersheds</w:t>
            </w:r>
          </w:p>
        </w:tc>
        <w:tc>
          <w:tcPr>
            <w:tcW w:type="dxa" w:w="1150"/>
            <w:shd w:fill="D9E2F3" w:color="auto" w:val="clear"/>
            <w:tcMar>
              <w:top w:type="dxa" w:w="90"/>
              <w:left w:type="dxa" w:w="120"/>
              <w:bottom w:type="dxa" w:w="90"/>
              <w:right w:type="dxa" w:w="120"/>
            </w:tcMar>
          </w:tcPr>
          <w:p>
            <w:r>
              <w:rPr>
                <w:b/>
                <w:bCs/>
                <w:color w:val="1F3864"/>
                <w:sz w:val="15"/>
                <w:szCs w:val="15"/>
              </w:rPr>
              <w:t xml:space="preserve">Stream length (km)</w:t>
            </w:r>
          </w:p>
        </w:tc>
        <w:tc>
          <w:tcPr>
            <w:tcW w:type="dxa" w:w="1260"/>
            <w:shd w:fill="D9E2F3" w:color="auto" w:val="clear"/>
            <w:tcMar>
              <w:top w:type="dxa" w:w="90"/>
              <w:left w:type="dxa" w:w="120"/>
              <w:bottom w:type="dxa" w:w="90"/>
              <w:right w:type="dxa" w:w="120"/>
            </w:tcMar>
          </w:tcPr>
          <w:p>
            <w:r>
              <w:rPr>
                <w:b/>
                <w:bCs/>
                <w:color w:val="1F3864"/>
                <w:sz w:val="15"/>
                <w:szCs w:val="15"/>
              </w:rPr>
              <w:t xml:space="preserve">Mean subwatershed (km²)</w:t>
            </w:r>
          </w:p>
        </w:tc>
        <w:tc>
          <w:tcPr>
            <w:tcW w:type="dxa" w:w="1200"/>
            <w:shd w:fill="D9E2F3" w:color="auto" w:val="clear"/>
            <w:tcMar>
              <w:top w:type="dxa" w:w="90"/>
              <w:left w:type="dxa" w:w="120"/>
              <w:bottom w:type="dxa" w:w="90"/>
              <w:right w:type="dxa" w:w="120"/>
            </w:tcMar>
          </w:tcPr>
          <w:p>
            <w:r>
              <w:rPr>
                <w:b/>
                <w:bCs/>
                <w:color w:val="1F3864"/>
                <w:sz w:val="15"/>
                <w:szCs w:val="15"/>
              </w:rPr>
              <w:t xml:space="preserve">Drainage density (km/km²)</w:t>
            </w:r>
          </w:p>
        </w:tc>
      </w:tr>
      <w:tr>
        <w:trPr>
          <w:cantSplit/>
        </w:trPr>
        <w:tc>
          <w:tcPr>
            <w:tcW w:type="dxa" w:w="1400"/>
            <w:tcMar>
              <w:top w:type="dxa" w:w="90"/>
              <w:left w:type="dxa" w:w="120"/>
              <w:bottom w:type="dxa" w:w="90"/>
              <w:right w:type="dxa" w:w="120"/>
            </w:tcMar>
          </w:tcPr>
          <w:p>
            <w:r>
              <w:rPr>
                <w:color w:val="000000"/>
                <w:sz w:val="15"/>
                <w:szCs w:val="15"/>
              </w:rPr>
              <w:t xml:space="preserve">5,000 (baseline)</w:t>
            </w:r>
          </w:p>
        </w:tc>
        <w:tc>
          <w:tcPr>
            <w:tcW w:type="dxa" w:w="1150"/>
            <w:tcMar>
              <w:top w:type="dxa" w:w="90"/>
              <w:left w:type="dxa" w:w="120"/>
              <w:bottom w:type="dxa" w:w="90"/>
              <w:right w:type="dxa" w:w="120"/>
            </w:tcMar>
          </w:tcPr>
          <w:p>
            <w:r>
              <w:rPr>
                <w:color w:val="000000"/>
                <w:sz w:val="15"/>
                <w:szCs w:val="15"/>
              </w:rPr>
              <w:t xml:space="preserve">0.5</w:t>
            </w:r>
          </w:p>
        </w:tc>
        <w:tc>
          <w:tcPr>
            <w:tcW w:type="dxa" w:w="1050"/>
            <w:tcMar>
              <w:top w:type="dxa" w:w="90"/>
              <w:left w:type="dxa" w:w="120"/>
              <w:bottom w:type="dxa" w:w="90"/>
              <w:right w:type="dxa" w:w="120"/>
            </w:tcMar>
          </w:tcPr>
          <w:p>
            <w:r>
              <w:rPr>
                <w:color w:val="767171"/>
                <w:sz w:val="15"/>
                <w:szCs w:val="15"/>
              </w:rPr>
              <w:t xml:space="preserve"> </w:t>
            </w:r>
          </w:p>
        </w:tc>
        <w:tc>
          <w:tcPr>
            <w:tcW w:type="dxa" w:w="1000"/>
            <w:tcMar>
              <w:top w:type="dxa" w:w="90"/>
              <w:left w:type="dxa" w:w="120"/>
              <w:bottom w:type="dxa" w:w="90"/>
              <w:right w:type="dxa" w:w="120"/>
            </w:tcMar>
          </w:tcPr>
          <w:p>
            <w:r>
              <w:rPr>
                <w:color w:val="767171"/>
                <w:sz w:val="15"/>
                <w:szCs w:val="15"/>
              </w:rPr>
              <w:t xml:space="preserve"> </w:t>
            </w:r>
          </w:p>
        </w:tc>
        <w:tc>
          <w:tcPr>
            <w:tcW w:type="dxa" w:w="1150"/>
            <w:tcMar>
              <w:top w:type="dxa" w:w="90"/>
              <w:left w:type="dxa" w:w="120"/>
              <w:bottom w:type="dxa" w:w="90"/>
              <w:right w:type="dxa" w:w="120"/>
            </w:tcMar>
          </w:tcPr>
          <w:p>
            <w:r>
              <w:rPr>
                <w:color w:val="767171"/>
                <w:sz w:val="15"/>
                <w:szCs w:val="15"/>
              </w:rPr>
              <w:t xml:space="preserve"> </w:t>
            </w:r>
          </w:p>
        </w:tc>
        <w:tc>
          <w:tcPr>
            <w:tcW w:type="dxa" w:w="1150"/>
            <w:tcMar>
              <w:top w:type="dxa" w:w="90"/>
              <w:left w:type="dxa" w:w="120"/>
              <w:bottom w:type="dxa" w:w="90"/>
              <w:right w:type="dxa" w:w="120"/>
            </w:tcMar>
          </w:tcPr>
          <w:p>
            <w:r>
              <w:rPr>
                <w:color w:val="767171"/>
                <w:sz w:val="15"/>
                <w:szCs w:val="15"/>
              </w:rPr>
              <w:t xml:space="preserve"> </w:t>
            </w:r>
          </w:p>
        </w:tc>
        <w:tc>
          <w:tcPr>
            <w:tcW w:type="dxa" w:w="1260"/>
            <w:tcMar>
              <w:top w:type="dxa" w:w="90"/>
              <w:left w:type="dxa" w:w="120"/>
              <w:bottom w:type="dxa" w:w="90"/>
              <w:right w:type="dxa" w:w="120"/>
            </w:tcMar>
          </w:tcPr>
          <w:p>
            <w:r>
              <w:rPr>
                <w:color w:val="767171"/>
                <w:sz w:val="15"/>
                <w:szCs w:val="15"/>
              </w:rPr>
              <w:t xml:space="preserve"> </w:t>
            </w:r>
          </w:p>
        </w:tc>
        <w:tc>
          <w:tcPr>
            <w:tcW w:type="dxa" w:w="1200"/>
            <w:tcMar>
              <w:top w:type="dxa" w:w="90"/>
              <w:left w:type="dxa" w:w="120"/>
              <w:bottom w:type="dxa" w:w="90"/>
              <w:right w:type="dxa" w:w="120"/>
            </w:tcMar>
          </w:tcPr>
          <w:p>
            <w:r>
              <w:rPr>
                <w:color w:val="767171"/>
                <w:sz w:val="15"/>
                <w:szCs w:val="15"/>
              </w:rPr>
              <w:t xml:space="preserve"> </w:t>
            </w:r>
          </w:p>
        </w:tc>
      </w:tr>
      <w:tr>
        <w:trPr>
          <w:cantSplit/>
        </w:trPr>
        <w:tc>
          <w:tcPr>
            <w:tcW w:type="dxa" w:w="1400"/>
            <w:shd w:fill="F2F2F2" w:color="auto" w:val="clear"/>
            <w:tcMar>
              <w:top w:type="dxa" w:w="90"/>
              <w:left w:type="dxa" w:w="120"/>
              <w:bottom w:type="dxa" w:w="90"/>
              <w:right w:type="dxa" w:w="120"/>
            </w:tcMar>
          </w:tcPr>
          <w:p>
            <w:r>
              <w:rPr>
                <w:color w:val="767171"/>
                <w:sz w:val="15"/>
                <w:szCs w:val="15"/>
              </w:rPr>
              <w:t xml:space="preserve"> </w:t>
            </w:r>
          </w:p>
        </w:tc>
        <w:tc>
          <w:tcPr>
            <w:tcW w:type="dxa" w:w="1150"/>
            <w:shd w:fill="F2F2F2" w:color="auto" w:val="clear"/>
            <w:tcMar>
              <w:top w:type="dxa" w:w="90"/>
              <w:left w:type="dxa" w:w="120"/>
              <w:bottom w:type="dxa" w:w="90"/>
              <w:right w:type="dxa" w:w="120"/>
            </w:tcMar>
          </w:tcPr>
          <w:p>
            <w:r>
              <w:rPr>
                <w:color w:val="767171"/>
                <w:sz w:val="15"/>
                <w:szCs w:val="15"/>
              </w:rPr>
              <w:t xml:space="preserve"> </w:t>
            </w:r>
          </w:p>
        </w:tc>
        <w:tc>
          <w:tcPr>
            <w:tcW w:type="dxa" w:w="1050"/>
            <w:shd w:fill="F2F2F2" w:color="auto" w:val="clear"/>
            <w:tcMar>
              <w:top w:type="dxa" w:w="90"/>
              <w:left w:type="dxa" w:w="120"/>
              <w:bottom w:type="dxa" w:w="90"/>
              <w:right w:type="dxa" w:w="120"/>
            </w:tcMar>
          </w:tcPr>
          <w:p>
            <w:r>
              <w:rPr>
                <w:color w:val="767171"/>
                <w:sz w:val="15"/>
                <w:szCs w:val="15"/>
              </w:rPr>
              <w:t xml:space="preserve"> </w:t>
            </w:r>
          </w:p>
        </w:tc>
        <w:tc>
          <w:tcPr>
            <w:tcW w:type="dxa" w:w="1000"/>
            <w:shd w:fill="F2F2F2" w:color="auto" w:val="clear"/>
            <w:tcMar>
              <w:top w:type="dxa" w:w="90"/>
              <w:left w:type="dxa" w:w="120"/>
              <w:bottom w:type="dxa" w:w="90"/>
              <w:right w:type="dxa" w:w="120"/>
            </w:tcMar>
          </w:tcPr>
          <w:p>
            <w:r>
              <w:rPr>
                <w:color w:val="767171"/>
                <w:sz w:val="15"/>
                <w:szCs w:val="15"/>
              </w:rPr>
              <w:t xml:space="preserve"> </w:t>
            </w:r>
          </w:p>
        </w:tc>
        <w:tc>
          <w:tcPr>
            <w:tcW w:type="dxa" w:w="1150"/>
            <w:shd w:fill="F2F2F2" w:color="auto" w:val="clear"/>
            <w:tcMar>
              <w:top w:type="dxa" w:w="90"/>
              <w:left w:type="dxa" w:w="120"/>
              <w:bottom w:type="dxa" w:w="90"/>
              <w:right w:type="dxa" w:w="120"/>
            </w:tcMar>
          </w:tcPr>
          <w:p>
            <w:r>
              <w:rPr>
                <w:color w:val="767171"/>
                <w:sz w:val="15"/>
                <w:szCs w:val="15"/>
              </w:rPr>
              <w:t xml:space="preserve"> </w:t>
            </w:r>
          </w:p>
        </w:tc>
        <w:tc>
          <w:tcPr>
            <w:tcW w:type="dxa" w:w="1150"/>
            <w:shd w:fill="F2F2F2" w:color="auto" w:val="clear"/>
            <w:tcMar>
              <w:top w:type="dxa" w:w="90"/>
              <w:left w:type="dxa" w:w="120"/>
              <w:bottom w:type="dxa" w:w="90"/>
              <w:right w:type="dxa" w:w="120"/>
            </w:tcMar>
          </w:tcPr>
          <w:p>
            <w:r>
              <w:rPr>
                <w:color w:val="767171"/>
                <w:sz w:val="15"/>
                <w:szCs w:val="15"/>
              </w:rPr>
              <w:t xml:space="preserve"> </w:t>
            </w:r>
          </w:p>
        </w:tc>
        <w:tc>
          <w:tcPr>
            <w:tcW w:type="dxa" w:w="1260"/>
            <w:shd w:fill="F2F2F2" w:color="auto" w:val="clear"/>
            <w:tcMar>
              <w:top w:type="dxa" w:w="90"/>
              <w:left w:type="dxa" w:w="120"/>
              <w:bottom w:type="dxa" w:w="90"/>
              <w:right w:type="dxa" w:w="120"/>
            </w:tcMar>
          </w:tcPr>
          <w:p>
            <w:r>
              <w:rPr>
                <w:color w:val="767171"/>
                <w:sz w:val="15"/>
                <w:szCs w:val="15"/>
              </w:rPr>
              <w:t xml:space="preserve"> </w:t>
            </w:r>
          </w:p>
        </w:tc>
        <w:tc>
          <w:tcPr>
            <w:tcW w:type="dxa" w:w="1200"/>
            <w:shd w:fill="F2F2F2" w:color="auto" w:val="clear"/>
            <w:tcMar>
              <w:top w:type="dxa" w:w="90"/>
              <w:left w:type="dxa" w:w="120"/>
              <w:bottom w:type="dxa" w:w="90"/>
              <w:right w:type="dxa" w:w="120"/>
            </w:tcMar>
          </w:tcPr>
          <w:p>
            <w:r>
              <w:rPr>
                <w:color w:val="767171"/>
                <w:sz w:val="15"/>
                <w:szCs w:val="15"/>
              </w:rPr>
              <w:t xml:space="preserve"> </w:t>
            </w:r>
          </w:p>
        </w:tc>
      </w:tr>
      <w:tr>
        <w:trPr>
          <w:cantSplit/>
        </w:trPr>
        <w:tc>
          <w:tcPr>
            <w:tcW w:type="dxa" w:w="1400"/>
            <w:tcMar>
              <w:top w:type="dxa" w:w="90"/>
              <w:left w:type="dxa" w:w="120"/>
              <w:bottom w:type="dxa" w:w="90"/>
              <w:right w:type="dxa" w:w="120"/>
            </w:tcMar>
          </w:tcPr>
          <w:p>
            <w:r>
              <w:rPr>
                <w:color w:val="767171"/>
                <w:sz w:val="15"/>
                <w:szCs w:val="15"/>
              </w:rPr>
              <w:t xml:space="preserve"> </w:t>
            </w:r>
          </w:p>
        </w:tc>
        <w:tc>
          <w:tcPr>
            <w:tcW w:type="dxa" w:w="1150"/>
            <w:tcMar>
              <w:top w:type="dxa" w:w="90"/>
              <w:left w:type="dxa" w:w="120"/>
              <w:bottom w:type="dxa" w:w="90"/>
              <w:right w:type="dxa" w:w="120"/>
            </w:tcMar>
          </w:tcPr>
          <w:p>
            <w:r>
              <w:rPr>
                <w:color w:val="767171"/>
                <w:sz w:val="15"/>
                <w:szCs w:val="15"/>
              </w:rPr>
              <w:t xml:space="preserve"> </w:t>
            </w:r>
          </w:p>
        </w:tc>
        <w:tc>
          <w:tcPr>
            <w:tcW w:type="dxa" w:w="1050"/>
            <w:tcMar>
              <w:top w:type="dxa" w:w="90"/>
              <w:left w:type="dxa" w:w="120"/>
              <w:bottom w:type="dxa" w:w="90"/>
              <w:right w:type="dxa" w:w="120"/>
            </w:tcMar>
          </w:tcPr>
          <w:p>
            <w:r>
              <w:rPr>
                <w:color w:val="767171"/>
                <w:sz w:val="15"/>
                <w:szCs w:val="15"/>
              </w:rPr>
              <w:t xml:space="preserve"> </w:t>
            </w:r>
          </w:p>
        </w:tc>
        <w:tc>
          <w:tcPr>
            <w:tcW w:type="dxa" w:w="1000"/>
            <w:tcMar>
              <w:top w:type="dxa" w:w="90"/>
              <w:left w:type="dxa" w:w="120"/>
              <w:bottom w:type="dxa" w:w="90"/>
              <w:right w:type="dxa" w:w="120"/>
            </w:tcMar>
          </w:tcPr>
          <w:p>
            <w:r>
              <w:rPr>
                <w:color w:val="767171"/>
                <w:sz w:val="15"/>
                <w:szCs w:val="15"/>
              </w:rPr>
              <w:t xml:space="preserve"> </w:t>
            </w:r>
          </w:p>
        </w:tc>
        <w:tc>
          <w:tcPr>
            <w:tcW w:type="dxa" w:w="1150"/>
            <w:tcMar>
              <w:top w:type="dxa" w:w="90"/>
              <w:left w:type="dxa" w:w="120"/>
              <w:bottom w:type="dxa" w:w="90"/>
              <w:right w:type="dxa" w:w="120"/>
            </w:tcMar>
          </w:tcPr>
          <w:p>
            <w:r>
              <w:rPr>
                <w:color w:val="767171"/>
                <w:sz w:val="15"/>
                <w:szCs w:val="15"/>
              </w:rPr>
              <w:t xml:space="preserve"> </w:t>
            </w:r>
          </w:p>
        </w:tc>
        <w:tc>
          <w:tcPr>
            <w:tcW w:type="dxa" w:w="1150"/>
            <w:tcMar>
              <w:top w:type="dxa" w:w="90"/>
              <w:left w:type="dxa" w:w="120"/>
              <w:bottom w:type="dxa" w:w="90"/>
              <w:right w:type="dxa" w:w="120"/>
            </w:tcMar>
          </w:tcPr>
          <w:p>
            <w:r>
              <w:rPr>
                <w:color w:val="767171"/>
                <w:sz w:val="15"/>
                <w:szCs w:val="15"/>
              </w:rPr>
              <w:t xml:space="preserve"> </w:t>
            </w:r>
          </w:p>
        </w:tc>
        <w:tc>
          <w:tcPr>
            <w:tcW w:type="dxa" w:w="1260"/>
            <w:tcMar>
              <w:top w:type="dxa" w:w="90"/>
              <w:left w:type="dxa" w:w="120"/>
              <w:bottom w:type="dxa" w:w="90"/>
              <w:right w:type="dxa" w:w="120"/>
            </w:tcMar>
          </w:tcPr>
          <w:p>
            <w:r>
              <w:rPr>
                <w:color w:val="767171"/>
                <w:sz w:val="15"/>
                <w:szCs w:val="15"/>
              </w:rPr>
              <w:t xml:space="preserve"> </w:t>
            </w:r>
          </w:p>
        </w:tc>
        <w:tc>
          <w:tcPr>
            <w:tcW w:type="dxa" w:w="1200"/>
            <w:tcMar>
              <w:top w:type="dxa" w:w="90"/>
              <w:left w:type="dxa" w:w="120"/>
              <w:bottom w:type="dxa" w:w="90"/>
              <w:right w:type="dxa" w:w="120"/>
            </w:tcMar>
          </w:tcPr>
          <w:p>
            <w:r>
              <w:rPr>
                <w:color w:val="767171"/>
                <w:sz w:val="15"/>
                <w:szCs w:val="15"/>
              </w:rPr>
              <w:t xml:space="preserve"> </w:t>
            </w:r>
          </w:p>
        </w:tc>
      </w:tr>
      <w:tr>
        <w:trPr>
          <w:cantSplit/>
        </w:trPr>
        <w:tc>
          <w:tcPr>
            <w:tcW w:type="dxa" w:w="1400"/>
            <w:shd w:fill="F2F2F2" w:color="auto" w:val="clear"/>
            <w:tcMar>
              <w:top w:type="dxa" w:w="90"/>
              <w:left w:type="dxa" w:w="120"/>
              <w:bottom w:type="dxa" w:w="90"/>
              <w:right w:type="dxa" w:w="120"/>
            </w:tcMar>
          </w:tcPr>
          <w:p>
            <w:r>
              <w:rPr>
                <w:color w:val="767171"/>
                <w:sz w:val="15"/>
                <w:szCs w:val="15"/>
              </w:rPr>
              <w:t xml:space="preserve"> </w:t>
            </w:r>
          </w:p>
        </w:tc>
        <w:tc>
          <w:tcPr>
            <w:tcW w:type="dxa" w:w="1150"/>
            <w:shd w:fill="F2F2F2" w:color="auto" w:val="clear"/>
            <w:tcMar>
              <w:top w:type="dxa" w:w="90"/>
              <w:left w:type="dxa" w:w="120"/>
              <w:bottom w:type="dxa" w:w="90"/>
              <w:right w:type="dxa" w:w="120"/>
            </w:tcMar>
          </w:tcPr>
          <w:p>
            <w:r>
              <w:rPr>
                <w:color w:val="767171"/>
                <w:sz w:val="15"/>
                <w:szCs w:val="15"/>
              </w:rPr>
              <w:t xml:space="preserve"> </w:t>
            </w:r>
          </w:p>
        </w:tc>
        <w:tc>
          <w:tcPr>
            <w:tcW w:type="dxa" w:w="1050"/>
            <w:shd w:fill="F2F2F2" w:color="auto" w:val="clear"/>
            <w:tcMar>
              <w:top w:type="dxa" w:w="90"/>
              <w:left w:type="dxa" w:w="120"/>
              <w:bottom w:type="dxa" w:w="90"/>
              <w:right w:type="dxa" w:w="120"/>
            </w:tcMar>
          </w:tcPr>
          <w:p>
            <w:r>
              <w:rPr>
                <w:color w:val="767171"/>
                <w:sz w:val="15"/>
                <w:szCs w:val="15"/>
              </w:rPr>
              <w:t xml:space="preserve"> </w:t>
            </w:r>
          </w:p>
        </w:tc>
        <w:tc>
          <w:tcPr>
            <w:tcW w:type="dxa" w:w="1000"/>
            <w:shd w:fill="F2F2F2" w:color="auto" w:val="clear"/>
            <w:tcMar>
              <w:top w:type="dxa" w:w="90"/>
              <w:left w:type="dxa" w:w="120"/>
              <w:bottom w:type="dxa" w:w="90"/>
              <w:right w:type="dxa" w:w="120"/>
            </w:tcMar>
          </w:tcPr>
          <w:p>
            <w:r>
              <w:rPr>
                <w:color w:val="767171"/>
                <w:sz w:val="15"/>
                <w:szCs w:val="15"/>
              </w:rPr>
              <w:t xml:space="preserve"> </w:t>
            </w:r>
          </w:p>
        </w:tc>
        <w:tc>
          <w:tcPr>
            <w:tcW w:type="dxa" w:w="1150"/>
            <w:shd w:fill="F2F2F2" w:color="auto" w:val="clear"/>
            <w:tcMar>
              <w:top w:type="dxa" w:w="90"/>
              <w:left w:type="dxa" w:w="120"/>
              <w:bottom w:type="dxa" w:w="90"/>
              <w:right w:type="dxa" w:w="120"/>
            </w:tcMar>
          </w:tcPr>
          <w:p>
            <w:r>
              <w:rPr>
                <w:color w:val="767171"/>
                <w:sz w:val="15"/>
                <w:szCs w:val="15"/>
              </w:rPr>
              <w:t xml:space="preserve"> </w:t>
            </w:r>
          </w:p>
        </w:tc>
        <w:tc>
          <w:tcPr>
            <w:tcW w:type="dxa" w:w="1150"/>
            <w:shd w:fill="F2F2F2" w:color="auto" w:val="clear"/>
            <w:tcMar>
              <w:top w:type="dxa" w:w="90"/>
              <w:left w:type="dxa" w:w="120"/>
              <w:bottom w:type="dxa" w:w="90"/>
              <w:right w:type="dxa" w:w="120"/>
            </w:tcMar>
          </w:tcPr>
          <w:p>
            <w:r>
              <w:rPr>
                <w:color w:val="767171"/>
                <w:sz w:val="15"/>
                <w:szCs w:val="15"/>
              </w:rPr>
              <w:t xml:space="preserve"> </w:t>
            </w:r>
          </w:p>
        </w:tc>
        <w:tc>
          <w:tcPr>
            <w:tcW w:type="dxa" w:w="1260"/>
            <w:shd w:fill="F2F2F2" w:color="auto" w:val="clear"/>
            <w:tcMar>
              <w:top w:type="dxa" w:w="90"/>
              <w:left w:type="dxa" w:w="120"/>
              <w:bottom w:type="dxa" w:w="90"/>
              <w:right w:type="dxa" w:w="120"/>
            </w:tcMar>
          </w:tcPr>
          <w:p>
            <w:r>
              <w:rPr>
                <w:color w:val="767171"/>
                <w:sz w:val="15"/>
                <w:szCs w:val="15"/>
              </w:rPr>
              <w:t xml:space="preserve"> </w:t>
            </w:r>
          </w:p>
        </w:tc>
        <w:tc>
          <w:tcPr>
            <w:tcW w:type="dxa" w:w="1200"/>
            <w:shd w:fill="F2F2F2" w:color="auto" w:val="clear"/>
            <w:tcMar>
              <w:top w:type="dxa" w:w="90"/>
              <w:left w:type="dxa" w:w="120"/>
              <w:bottom w:type="dxa" w:w="90"/>
              <w:right w:type="dxa" w:w="120"/>
            </w:tcMar>
          </w:tcPr>
          <w:p>
            <w:r>
              <w:rPr>
                <w:color w:val="767171"/>
                <w:sz w:val="15"/>
                <w:szCs w:val="15"/>
              </w:rPr>
              <w:t xml:space="preserve"> </w:t>
            </w:r>
          </w:p>
        </w:tc>
      </w:tr>
      <w:tr>
        <w:trPr>
          <w:cantSplit/>
        </w:trPr>
        <w:tc>
          <w:tcPr>
            <w:tcW w:type="dxa" w:w="1400"/>
            <w:tcMar>
              <w:top w:type="dxa" w:w="90"/>
              <w:left w:type="dxa" w:w="120"/>
              <w:bottom w:type="dxa" w:w="90"/>
              <w:right w:type="dxa" w:w="120"/>
            </w:tcMar>
          </w:tcPr>
          <w:p>
            <w:r>
              <w:rPr>
                <w:color w:val="000000"/>
                <w:sz w:val="15"/>
                <w:szCs w:val="15"/>
              </w:rPr>
              <w:t xml:space="preserve">NHD (reference)</w:t>
            </w:r>
          </w:p>
        </w:tc>
        <w:tc>
          <w:tcPr>
            <w:tcW w:type="dxa" w:w="1150"/>
            <w:tcMar>
              <w:top w:type="dxa" w:w="90"/>
              <w:left w:type="dxa" w:w="120"/>
              <w:bottom w:type="dxa" w:w="90"/>
              <w:right w:type="dxa" w:w="120"/>
            </w:tcMar>
          </w:tcPr>
          <w:p>
            <w:r>
              <w:rPr>
                <w:color w:val="000000"/>
                <w:sz w:val="15"/>
                <w:szCs w:val="15"/>
              </w:rPr>
              <w:t xml:space="preserve">—</w:t>
            </w:r>
          </w:p>
        </w:tc>
        <w:tc>
          <w:tcPr>
            <w:tcW w:type="dxa" w:w="1050"/>
            <w:tcMar>
              <w:top w:type="dxa" w:w="90"/>
              <w:left w:type="dxa" w:w="120"/>
              <w:bottom w:type="dxa" w:w="90"/>
              <w:right w:type="dxa" w:w="120"/>
            </w:tcMar>
          </w:tcPr>
          <w:p>
            <w:r>
              <w:rPr>
                <w:color w:val="000000"/>
                <w:sz w:val="15"/>
                <w:szCs w:val="15"/>
              </w:rPr>
              <w:t xml:space="preserve">—</w:t>
            </w:r>
          </w:p>
        </w:tc>
        <w:tc>
          <w:tcPr>
            <w:tcW w:type="dxa" w:w="1000"/>
            <w:tcMar>
              <w:top w:type="dxa" w:w="90"/>
              <w:left w:type="dxa" w:w="120"/>
              <w:bottom w:type="dxa" w:w="90"/>
              <w:right w:type="dxa" w:w="120"/>
            </w:tcMar>
          </w:tcPr>
          <w:p>
            <w:r>
              <w:rPr>
                <w:color w:val="000000"/>
                <w:sz w:val="15"/>
                <w:szCs w:val="15"/>
              </w:rPr>
              <w:t xml:space="preserve">—</w:t>
            </w:r>
          </w:p>
        </w:tc>
        <w:tc>
          <w:tcPr>
            <w:tcW w:type="dxa" w:w="1150"/>
            <w:tcMar>
              <w:top w:type="dxa" w:w="90"/>
              <w:left w:type="dxa" w:w="120"/>
              <w:bottom w:type="dxa" w:w="90"/>
              <w:right w:type="dxa" w:w="120"/>
            </w:tcMar>
          </w:tcPr>
          <w:p>
            <w:r>
              <w:rPr>
                <w:color w:val="000000"/>
                <w:sz w:val="15"/>
                <w:szCs w:val="15"/>
              </w:rPr>
              <w:t xml:space="preserve">—</w:t>
            </w:r>
          </w:p>
        </w:tc>
        <w:tc>
          <w:tcPr>
            <w:tcW w:type="dxa" w:w="1150"/>
            <w:tcMar>
              <w:top w:type="dxa" w:w="90"/>
              <w:left w:type="dxa" w:w="120"/>
              <w:bottom w:type="dxa" w:w="90"/>
              <w:right w:type="dxa" w:w="120"/>
            </w:tcMar>
          </w:tcPr>
          <w:p>
            <w:r>
              <w:rPr>
                <w:color w:val="767171"/>
                <w:sz w:val="15"/>
                <w:szCs w:val="15"/>
              </w:rPr>
              <w:t xml:space="preserve"> </w:t>
            </w:r>
          </w:p>
        </w:tc>
        <w:tc>
          <w:tcPr>
            <w:tcW w:type="dxa" w:w="1260"/>
            <w:tcMar>
              <w:top w:type="dxa" w:w="90"/>
              <w:left w:type="dxa" w:w="120"/>
              <w:bottom w:type="dxa" w:w="90"/>
              <w:right w:type="dxa" w:w="120"/>
            </w:tcMar>
          </w:tcPr>
          <w:p>
            <w:r>
              <w:rPr>
                <w:color w:val="000000"/>
                <w:sz w:val="15"/>
                <w:szCs w:val="15"/>
              </w:rPr>
              <w:t xml:space="preserve">—</w:t>
            </w:r>
          </w:p>
        </w:tc>
        <w:tc>
          <w:tcPr>
            <w:tcW w:type="dxa" w:w="1200"/>
            <w:tcMar>
              <w:top w:type="dxa" w:w="90"/>
              <w:left w:type="dxa" w:w="120"/>
              <w:bottom w:type="dxa" w:w="90"/>
              <w:right w:type="dxa" w:w="120"/>
            </w:tcMar>
          </w:tcPr>
          <w:p>
            <w:r>
              <w:rPr>
                <w:color w:val="767171"/>
                <w:sz w:val="15"/>
                <w:szCs w:val="15"/>
              </w:rPr>
              <w:t xml:space="preserve"> </w:t>
            </w:r>
          </w:p>
        </w:tc>
      </w:tr>
    </w:tbl>
    <w:p>
      <w:pPr>
        <w:pStyle w:val="Caption"/>
        <w:spacing w:after="240" w:before="100"/>
      </w:pPr>
      <w:r>
        <w:rPr>
          <w:b/>
          <w:bCs/>
          <w:color w:val="1F3864"/>
          <w:sz w:val="19"/>
          <w:szCs w:val="19"/>
        </w:rPr>
        <w:t xml:space="preserve">Table 5. Sensitivity — the baseline, at least three more thresholds, and the NHD.</w:t>
      </w:r>
    </w:p>
    <w:p>
      <w:pPr>
        <w:pStyle w:val="Heading2"/>
        <w:spacing w:after="60" w:before="220"/>
      </w:pPr>
      <w:r>
        <w:rPr>
          <w:b/>
          <w:bCs/>
          <w:color w:val="1F3864"/>
          <w:sz w:val="22"/>
          <w:szCs w:val="22"/>
        </w:rPr>
        <w:t xml:space="preserve">How do the segment and subwatershed counts depend on the threshold? What happens to them when the threshold doubles, which range of thresholds gives 20–40 subwatersheds, and why are two of your columns always equal?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Which threshold reproduces the NHD’s total length, and which its perennial and intermittent length? What does that say about what the NHD’s lines represent, and about which network a runoff model should use?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What did the threshold not change, and which network would you defend to the engineer who asked for 20–40 subwatersheds? (2 points)</w:t>
      </w:r>
    </w:p>
    <w:p>
      <w:pPr>
        <w:spacing w:after="260" w:before="0"/>
      </w:pPr>
      <w:r>
        <w:rPr>
          <w:i/>
          <w:iCs/>
          <w:color w:val="767171"/>
          <w:highlight w:val="yellow"/>
        </w:rPr>
        <w:t xml:space="preserve">[Your answer here.]</w:t>
      </w:r>
    </w:p>
    <w:p>
      <w:r>
        <w:br w:type="page"/>
      </w:r>
    </w:p>
    <w:p>
      <w:pPr>
        <w:pStyle w:val="Heading1"/>
        <w:spacing w:after="80" w:before="280"/>
      </w:pPr>
      <w:r>
        <w:rPr>
          <w:b/>
          <w:bCs/>
          <w:color w:val="1F3864"/>
          <w:sz w:val="28"/>
          <w:szCs w:val="28"/>
        </w:rPr>
        <w:t xml:space="preserve">7.  Maps</w:t>
      </w:r>
    </w:p>
    <w:p>
      <w:pPr>
        <w:spacing w:after="160" w:before="60"/>
      </w:pPr>
      <w:r>
        <w:rPr>
          <w:i/>
          <w:iCs/>
          <w:color w:val="767171"/>
          <w:sz w:val="19"/>
          <w:szCs w:val="19"/>
        </w:rPr>
        <w:t xml:space="preserve">Both maps are full-page, 8.5 × 11. Put each on its own page. Symbolize the subwatersheds, your streams and the NHD the same way on both, so a reader can compare them.</w:t>
      </w:r>
    </w:p>
    <w:p>
      <w:pPr>
        <w:spacing w:after="160" w:before="60"/>
      </w:pPr>
      <w:r>
        <w:rPr>
          <w:i/>
          <w:iCs/>
          <w:color w:val="767171"/>
          <w:sz w:val="19"/>
          <w:szCs w:val="19"/>
        </w:rPr>
        <w:t xml:space="preserve">Must carry: title, neat line, north arrow and scale bar; a text box with author, date, map projection and data sources; subwatersheds and the basin boundary symbolized with a legend; your streams and the NHD streams, told apart; the outlet marked and a locator map; imagery or hillshade visible, zoomed to the basin, all text legible in print.</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subwatersheds and streams at 5,000 cells.</w:t>
      </w:r>
    </w:p>
    <w:p>
      <w:r>
        <w:br w:type="page"/>
      </w:r>
    </w:p>
    <w:p>
      <w:pPr>
        <w:spacing w:after="160" w:before="60"/>
      </w:pPr>
      <w:r>
        <w:rPr>
          <w:i/>
          <w:iCs/>
          <w:color w:val="767171"/>
          <w:sz w:val="19"/>
          <w:szCs w:val="19"/>
        </w:rPr>
        <w:t xml:space="preserve">The same as Map 1 (the locator is optional), plus: the title and text box say what threshold was used, what it replaced, and why you chose this run to show.</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Scenario — one threshold from Step 14.</w:t>
      </w:r>
    </w:p>
    <w:p>
      <w:r>
        <w:br w:type="page"/>
      </w:r>
    </w:p>
    <w:p>
      <w:pPr>
        <w:pStyle w:val="Heading1"/>
        <w:spacing w:after="80" w:before="280"/>
      </w:pPr>
      <w:r>
        <w:rPr>
          <w:b/>
          <w:bCs/>
          <w:color w:val="1F3864"/>
          <w:sz w:val="28"/>
          <w:szCs w:val="28"/>
        </w:rPr>
        <w:t xml:space="preserve">8.  References</w:t>
      </w:r>
    </w:p>
    <w:p>
      <w:pPr>
        <w:spacing w:after="160" w:before="60"/>
      </w:pPr>
      <w:r>
        <w:rPr>
          <w:i/>
          <w:iCs/>
          <w:color w:val="767171"/>
          <w:sz w:val="19"/>
          <w:szCs w:val="19"/>
        </w:rPr>
        <w:t xml:space="preserve">Rubric: sources credited (part of the point for organized writing). Credit the DEM, the NHD, StreamStats, the basemap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9.  AI Use Statement</w:t>
      </w:r>
    </w:p>
    <w:p>
      <w:pPr>
        <w:spacing w:after="160" w:before="60"/>
      </w:pPr>
      <w:r>
        <w:rPr>
          <w:i/>
          <w:iCs/>
          <w:color w:val="767171"/>
          <w:sz w:val="19"/>
          <w:szCs w:val="19"/>
        </w:rPr>
        <w:t xml:space="preserve">Course policy: one line saying what you used AI for. If you used none, say that. Field names, expressions, coordinate systems and numbers come from your own data,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The two checks from Step 13: your basin area against StreamStats and your stream length against the NHD, with the numbers (2)</w:t>
            </w:r>
          </w:p>
          <w:p>
            <w:pPr>
              <w:pStyle w:val="ListParagraph"/>
              <w:numPr>
                <w:ilvl w:val="0"/>
                <w:numId w:val="3"/>
              </w:numPr>
              <w:spacing w:after="40"/>
            </w:pPr>
            <w:r>
              <w:rPr>
                <w:sz w:val="17"/>
                <w:szCs w:val="17"/>
              </w:rPr>
              <w:t xml:space="preserve">Where the model is wrong, why, and what data would fix each problem (Step 13) (2)</w:t>
            </w:r>
          </w:p>
          <w:p>
            <w:pPr>
              <w:pStyle w:val="ListParagraph"/>
              <w:numPr>
                <w:ilvl w:val="0"/>
                <w:numId w:val="3"/>
              </w:numPr>
              <w:spacing w:after="40"/>
            </w:pPr>
            <w:r>
              <w:rPr>
                <w:sz w:val="17"/>
                <w:szCs w:val="17"/>
              </w:rPr>
              <w:t xml:space="preserve">The four metadata values from Figure A and what each one means for your result (2)</w:t>
            </w:r>
          </w:p>
          <w:p>
            <w:pPr>
              <w:pStyle w:val="ListParagraph"/>
              <w:numPr>
                <w:ilvl w:val="0"/>
                <w:numId w:val="3"/>
              </w:numPr>
              <w:spacing w:after="40"/>
            </w:pPr>
            <w:r>
              <w:rPr>
                <w:sz w:val="17"/>
                <w:szCs w:val="17"/>
              </w:rPr>
              <w:t xml:space="preserve">Clear, organized writing: figures numbered and referred to in the text, sources credited, and this rubric pasted in with your self-assessment in every row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end to end from its tool dialog, with the threshold and the three outputs as its parameters; at the baseline threshold your basin area, segment count and subwatershed count match the Step 7 and Step 11 check values, within the small differences your own outlet can make (4)</w:t>
            </w:r>
          </w:p>
          <w:p>
            <w:pPr>
              <w:pStyle w:val="ListParagraph"/>
              <w:numPr>
                <w:ilvl w:val="0"/>
                <w:numId w:val="3"/>
              </w:numPr>
              <w:spacing w:after="40"/>
            </w:pPr>
            <w:r>
              <w:rPr>
                <w:sz w:val="17"/>
                <w:szCs w:val="17"/>
              </w:rPr>
              <w:t xml:space="preserve">A full-page (8.5 × 11) figure of the model, exported from ModelBuilder and laid out so it reads in rows as Figure C does: every tool and dataset shown, labels informative, all text readable at 10 pt or larger (2)</w:t>
            </w:r>
          </w:p>
          <w:p>
            <w:pPr>
              <w:pStyle w:val="ListParagraph"/>
              <w:numPr>
                <w:ilvl w:val="0"/>
                <w:numId w:val="3"/>
              </w:numPr>
              <w:spacing w:after="40"/>
            </w:pPr>
            <w:r>
              <w:rPr>
                <w:sz w:val="17"/>
                <w:szCs w:val="17"/>
              </w:rPr>
              <w:t xml:space="preserve">A screen capture of the tool dialog with the threshold and the three outputs exposed as parameters, like Figure 12b (2)</w:t>
            </w:r>
          </w:p>
          <w:p>
            <w:pPr>
              <w:pStyle w:val="ListParagraph"/>
              <w:numPr>
                <w:ilvl w:val="0"/>
                <w:numId w:val="3"/>
              </w:numPr>
              <w:spacing w:after="40"/>
            </w:pPr>
            <w:r>
              <w:rPr>
                <w:sz w:val="17"/>
                <w:szCs w:val="17"/>
              </w:rPr>
              <w:t xml:space="preserve">A description of the model a reader could repeat from: each tool, its settings, and every input, intermediate and output dataset with its type and source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(full page, 8.5 × 11)</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data sources (1)</w:t>
            </w:r>
          </w:p>
          <w:p>
            <w:pPr>
              <w:pStyle w:val="ListParagraph"/>
              <w:numPr>
                <w:ilvl w:val="0"/>
                <w:numId w:val="3"/>
              </w:numPr>
              <w:spacing w:after="40"/>
            </w:pPr>
            <w:r>
              <w:rPr>
                <w:sz w:val="17"/>
                <w:szCs w:val="17"/>
              </w:rPr>
              <w:t xml:space="preserve">Subwatersheds and the basin boundary clearly symbolized, with a legend (2)</w:t>
            </w:r>
          </w:p>
          <w:p>
            <w:pPr>
              <w:pStyle w:val="ListParagraph"/>
              <w:numPr>
                <w:ilvl w:val="0"/>
                <w:numId w:val="3"/>
              </w:numPr>
              <w:spacing w:after="40"/>
            </w:pPr>
            <w:r>
              <w:rPr>
                <w:sz w:val="17"/>
                <w:szCs w:val="17"/>
              </w:rPr>
              <w:t xml:space="preserve">Your streams and the NHD streams both shown, symbolized so a reader can tell them apart (2)</w:t>
            </w:r>
          </w:p>
          <w:p>
            <w:pPr>
              <w:pStyle w:val="ListParagraph"/>
              <w:numPr>
                <w:ilvl w:val="0"/>
                <w:numId w:val="3"/>
              </w:numPr>
              <w:spacing w:after="40"/>
            </w:pPr>
            <w:r>
              <w:rPr>
                <w:sz w:val="17"/>
                <w:szCs w:val="17"/>
              </w:rPr>
              <w:t xml:space="preserve">The outlet marked, and a locator map showing where the basin is (2)</w:t>
            </w:r>
          </w:p>
          <w:p>
            <w:pPr>
              <w:pStyle w:val="ListParagraph"/>
              <w:numPr>
                <w:ilvl w:val="0"/>
                <w:numId w:val="3"/>
              </w:numPr>
              <w:spacing w:after="40"/>
            </w:pPr>
            <w:r>
              <w:rPr>
                <w:sz w:val="17"/>
                <w:szCs w:val="17"/>
              </w:rPr>
              <w:t xml:space="preserve">Imagery or hillshade visible, zoomed to the basin, and all text legible when printed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one Step 14 threshold (full page, 8.5 × 11)</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data sources (1)</w:t>
            </w:r>
          </w:p>
          <w:p>
            <w:pPr>
              <w:pStyle w:val="ListParagraph"/>
              <w:numPr>
                <w:ilvl w:val="0"/>
                <w:numId w:val="3"/>
              </w:numPr>
              <w:spacing w:after="40"/>
            </w:pPr>
            <w:r>
              <w:rPr>
                <w:sz w:val="17"/>
                <w:szCs w:val="17"/>
              </w:rPr>
              <w:t xml:space="preserve">Subwatersheds and streams for this threshold symbolized the same way as on Map 1, with a legend (2)</w:t>
            </w:r>
          </w:p>
          <w:p>
            <w:pPr>
              <w:pStyle w:val="ListParagraph"/>
              <w:numPr>
                <w:ilvl w:val="0"/>
                <w:numId w:val="3"/>
              </w:numPr>
              <w:spacing w:after="40"/>
            </w:pPr>
            <w:r>
              <w:rPr>
                <w:sz w:val="17"/>
                <w:szCs w:val="17"/>
              </w:rPr>
              <w:t xml:space="preserve">The NHD streams and the outlet shown (2)</w:t>
            </w:r>
          </w:p>
          <w:p>
            <w:pPr>
              <w:pStyle w:val="ListParagraph"/>
              <w:numPr>
                <w:ilvl w:val="0"/>
                <w:numId w:val="3"/>
              </w:numPr>
              <w:spacing w:after="40"/>
            </w:pPr>
            <w:r>
              <w:rPr>
                <w:sz w:val="17"/>
                <w:szCs w:val="17"/>
              </w:rPr>
              <w:t xml:space="preserve">Imagery or hillshade visible, zoomed to the basin, and all text legible when printed (2)</w:t>
            </w:r>
          </w:p>
          <w:p>
            <w:pPr>
              <w:pStyle w:val="ListParagraph"/>
              <w:numPr>
                <w:ilvl w:val="0"/>
                <w:numId w:val="3"/>
              </w:numPr>
              <w:spacing w:after="40"/>
            </w:pPr>
            <w:r>
              <w:rPr>
                <w:sz w:val="17"/>
                <w:szCs w:val="17"/>
              </w:rPr>
              <w:t xml:space="preserve">The title and text box say what threshold was used, what it replaced, and why you chose this run to show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analysis (Step 14)</w:t>
            </w:r>
          </w:p>
          <w:p>
            <w:pPr>
              <w:pStyle w:val="ListParagraph"/>
              <w:numPr>
                <w:ilvl w:val="0"/>
                <w:numId w:val="3"/>
              </w:numPr>
              <w:spacing w:after="40"/>
            </w:pPr>
            <w:r>
              <w:rPr>
                <w:sz w:val="17"/>
                <w:szCs w:val="17"/>
              </w:rPr>
              <w:t xml:space="preserve">One table with the baseline and at least three more thresholds, giving for each the threshold in cells and km², the basin area, the segments, the subwatersheds, the stream length, the mean subwatershed area and the drainage density, with the NHD as a reference row (4)</w:t>
            </w:r>
          </w:p>
          <w:p>
            <w:pPr>
              <w:pStyle w:val="ListParagraph"/>
              <w:numPr>
                <w:ilvl w:val="0"/>
                <w:numId w:val="3"/>
              </w:numPr>
              <w:spacing w:after="40"/>
            </w:pPr>
            <w:r>
              <w:rPr>
                <w:sz w:val="17"/>
                <w:szCs w:val="17"/>
              </w:rPr>
              <w:t xml:space="preserve">How the counts depend on the threshold, the range that gives 20–40 subwatersheds, and why two columns are equal (2)</w:t>
            </w:r>
          </w:p>
          <w:p>
            <w:pPr>
              <w:pStyle w:val="ListParagraph"/>
              <w:numPr>
                <w:ilvl w:val="0"/>
                <w:numId w:val="3"/>
              </w:numPr>
              <w:spacing w:after="40"/>
            </w:pPr>
            <w:r>
              <w:rPr>
                <w:sz w:val="17"/>
                <w:szCs w:val="17"/>
              </w:rPr>
              <w:t xml:space="preserve">The thresholds that reproduce the NHD, and what that says about the NHD and about which network to use (2)</w:t>
            </w:r>
          </w:p>
          <w:p>
            <w:pPr>
              <w:pStyle w:val="ListParagraph"/>
              <w:numPr>
                <w:ilvl w:val="0"/>
                <w:numId w:val="3"/>
              </w:numPr>
              <w:spacing w:after="40"/>
            </w:pPr>
            <w:r>
              <w:rPr>
                <w:sz w:val="17"/>
                <w:szCs w:val="17"/>
              </w:rPr>
              <w:t xml:space="preserve">What the threshold does not change, and the network you would defend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5: Watershed Delineation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2026-10-06T05:15:06.849Z</dcterms:created>
  <dcterms:modified xsi:type="dcterms:W3CDTF">2026-10-06T05:15:06.850Z</dcterms:modified>
</cp:coreProperties>
</file>

<file path=docProps/custom.xml><?xml version="1.0" encoding="utf-8"?>
<Properties xmlns="http://schemas.openxmlformats.org/officeDocument/2006/custom-properties" xmlns:vt="http://schemas.openxmlformats.org/officeDocument/2006/docPropsVTypes"/>
</file>