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BF9000" w:sz="8"/>
          <w:left w:val="single" w:color="BF9000" w:sz="8"/>
          <w:bottom w:val="single" w:color="BF9000" w:sz="8"/>
          <w:right w:val="single" w:color="BF9000" w:sz="8"/>
          <w:insideH w:val="single" w:color="BF9000" w:sz="8"/>
          <w:insideV w:val="single" w:color="BF9000" w:sz="8"/>
        </w:tblBorders>
      </w:tblPr>
      <w:tblGrid>
        <w:gridCol w:w="9360"/>
      </w:tblGrid>
      <w:tr>
        <w:trPr>
          <w:cantSplit/>
        </w:trPr>
        <w:tc>
          <w:tcPr>
            <w:tcW w:type="dxa" w:w="9360"/>
            <w:shd w:fill="FFF2CC" w:color="auto" w:val="clear"/>
            <w:tcMar>
              <w:top w:type="dxa" w:w="120"/>
              <w:left w:type="dxa" w:w="160"/>
              <w:bottom w:type="dxa" w:w="120"/>
              <w:right w:type="dxa" w:w="160"/>
            </w:tcMar>
          </w:tcPr>
          <w:p>
            <w:pPr>
              <w:spacing w:after="80"/>
            </w:pPr>
            <w:r>
              <w:rPr>
                <w:b/>
                <w:bCs/>
                <w:color w:val="1F3864"/>
                <w:sz w:val="20"/>
                <w:szCs w:val="20"/>
              </w:rPr>
              <w:t xml:space="preserve">Before you submit — then delete this box</w:t>
            </w:r>
          </w:p>
          <w:p>
            <w:pPr>
              <w:pStyle w:val="ListParagraph"/>
              <w:numPr>
                <w:ilvl w:val="0"/>
                <w:numId w:val="2"/>
              </w:numPr>
              <w:spacing w:after="40"/>
            </w:pPr>
            <w:r>
              <w:rPr>
                <w:sz w:val="19"/>
                <w:szCs w:val="19"/>
              </w:rPr>
              <w:t xml:space="preserve">Delete every yellow placeholder and every gray instruction line, and this box.</w:t>
            </w:r>
          </w:p>
          <w:p>
            <w:pPr>
              <w:pStyle w:val="ListParagraph"/>
              <w:numPr>
                <w:ilvl w:val="0"/>
                <w:numId w:val="2"/>
              </w:numPr>
              <w:spacing w:after="40"/>
            </w:pPr>
            <w:r>
              <w:rPr>
                <w:sz w:val="19"/>
                <w:szCs w:val="19"/>
              </w:rPr>
              <w:t xml:space="preserve">Name your reviewer, add the sentence on what you changed, and paste their stamp image below.</w:t>
            </w:r>
          </w:p>
          <w:p>
            <w:pPr>
              <w:pStyle w:val="ListParagraph"/>
              <w:numPr>
                <w:ilvl w:val="0"/>
                <w:numId w:val="2"/>
              </w:numPr>
              <w:spacing w:after="40"/>
            </w:pPr>
            <w:r>
              <w:rPr>
                <w:sz w:val="19"/>
                <w:szCs w:val="19"/>
              </w:rPr>
              <w:t xml:space="preserve">Figure 1 is the model exported from ModelBuilder (Export ▸ Export To Graphic, as PNG) — not a screen capture, and not redrawn or “enhanced” by AI.</w:t>
            </w:r>
          </w:p>
          <w:p>
            <w:pPr>
              <w:pStyle w:val="ListParagraph"/>
              <w:numPr>
                <w:ilvl w:val="0"/>
                <w:numId w:val="2"/>
              </w:numPr>
              <w:spacing w:after="40"/>
            </w:pPr>
            <w:r>
              <w:rPr>
                <w:sz w:val="19"/>
                <w:szCs w:val="19"/>
              </w:rPr>
              <w:t xml:space="preserve">Every number in your tables and text comes from your own work in ArcGIS Pro.</w:t>
            </w:r>
          </w:p>
          <w:p>
            <w:pPr>
              <w:pStyle w:val="ListParagraph"/>
              <w:numPr>
                <w:ilvl w:val="0"/>
                <w:numId w:val="2"/>
              </w:numPr>
              <w:spacing w:after="40"/>
            </w:pPr>
            <w:r>
              <w:rPr>
                <w:sz w:val="19"/>
                <w:szCs w:val="19"/>
              </w:rPr>
              <w:t xml:space="preserve">Put a score in every row of the Self-Graded Rubric, and the total.</w:t>
            </w:r>
          </w:p>
          <w:p>
            <w:pPr>
              <w:pStyle w:val="ListParagraph"/>
              <w:numPr>
                <w:ilvl w:val="0"/>
                <w:numId w:val="2"/>
              </w:numPr>
              <w:spacing w:after="40"/>
            </w:pPr>
            <w:r>
              <w:rPr>
                <w:sz w:val="19"/>
                <w:szCs w:val="19"/>
              </w:rPr>
              <w:t xml:space="preserve">Save as PDF, then open the PDF and check that every figure and map came through readable.</w:t>
            </w:r>
          </w:p>
        </w:tc>
      </w:tr>
    </w:tbl>
    <w:p>
      <w:pPr>
        <w:spacing w:before="900"/>
      </w:pPr>
    </w:p>
    <w:p>
      <w:pPr>
        <w:spacing w:after="100"/>
        <w:jc w:val="center"/>
      </w:pPr>
      <w:r>
        <w:rPr>
          <w:b/>
          <w:bCs/>
          <w:color w:val="1F3864"/>
          <w:sz w:val="48"/>
          <w:szCs w:val="48"/>
        </w:rPr>
        <w:t xml:space="preserve">Lab 10: Avalanche Hazard</w:t>
      </w:r>
    </w:p>
    <w:p>
      <w:pPr>
        <w:spacing w:after="420"/>
        <w:jc w:val="center"/>
      </w:pPr>
      <w:r>
        <w:rPr>
          <w:color w:val="1F3864"/>
          <w:sz w:val="32"/>
          <w:szCs w:val="32"/>
        </w:rPr>
        <w:t xml:space="preserve">Terrain-based avalanche hazard screening from slope, aspect, and elevation</w:t>
      </w:r>
    </w:p>
    <w:p>
      <w:pPr>
        <w:spacing w:after="60"/>
        <w:jc w:val="center"/>
      </w:pPr>
      <w:r>
        <w:rPr>
          <w:sz w:val="24"/>
          <w:szCs w:val="24"/>
        </w:rPr>
        <w:t xml:space="preserve">CE 414 — Engineering Applications of GIS</w:t>
      </w:r>
    </w:p>
    <w:p>
      <w:pPr>
        <w:spacing w:after="600"/>
        <w:jc w:val="center"/>
      </w:pPr>
      <w:r>
        <w:rPr>
          <w:color w:val="767171"/>
          <w:sz w:val="24"/>
          <w:szCs w:val="24"/>
        </w:rPr>
        <w:t xml:space="preserve">Fall 2026 · Dr. Dan Ames</w:t>
      </w:r>
    </w:p>
    <w:p>
      <w:pPr>
        <w:spacing w:after="120" w:before="0"/>
        <w:jc w:val="center"/>
      </w:pPr>
      <w:r>
        <w:rPr>
          <w:b/>
          <w:bCs/>
          <w:color w:val="1F3864"/>
          <w:sz w:val="21"/>
          <w:szCs w:val="21"/>
        </w:rPr>
        <w:t xml:space="preserve">Your name:  </w:t>
      </w:r>
      <w:r>
        <w:rPr>
          <w:i/>
          <w:iCs/>
          <w:color w:val="767171"/>
          <w:sz w:val="21"/>
          <w:szCs w:val="21"/>
          <w:highlight w:val="yellow"/>
        </w:rPr>
        <w:t xml:space="preserve">[your name]</w:t>
      </w:r>
    </w:p>
    <w:p>
      <w:pPr>
        <w:spacing w:after="120" w:before="0"/>
        <w:jc w:val="center"/>
      </w:pPr>
      <w:r>
        <w:rPr>
          <w:b/>
          <w:bCs/>
          <w:color w:val="1F3864"/>
          <w:sz w:val="21"/>
          <w:szCs w:val="21"/>
        </w:rPr>
        <w:t xml:space="preserve">Date submitted:  </w:t>
      </w:r>
      <w:r>
        <w:rPr>
          <w:i/>
          <w:iCs/>
          <w:color w:val="767171"/>
          <w:sz w:val="21"/>
          <w:szCs w:val="21"/>
          <w:highlight w:val="yellow"/>
        </w:rPr>
        <w:t xml:space="preserve">[date]</w:t>
      </w:r>
    </w:p>
    <w:p>
      <w:pPr>
        <w:spacing w:after="120" w:before="0"/>
        <w:jc w:val="center"/>
      </w:pPr>
      <w:r>
        <w:rPr>
          <w:b/>
          <w:bCs/>
          <w:color w:val="1F3864"/>
          <w:sz w:val="21"/>
          <w:szCs w:val="21"/>
        </w:rPr>
        <w:t xml:space="preserve">Peer reviewer:  </w:t>
      </w:r>
      <w:r>
        <w:rPr>
          <w:i/>
          <w:iCs/>
          <w:color w:val="767171"/>
          <w:sz w:val="21"/>
          <w:szCs w:val="21"/>
          <w:highlight w:val="yellow"/>
        </w:rPr>
        <w:t xml:space="preserve">[reviewer’s name]</w:t>
      </w:r>
    </w:p>
    <w:p>
      <w:pPr>
        <w:spacing w:after="400" w:before="60"/>
        <w:jc w:val="center"/>
      </w:pPr>
      <w:r>
        <w:rPr>
          <w:i/>
          <w:iCs/>
          <w:color w:val="767171"/>
          <w:sz w:val="21"/>
          <w:szCs w:val="21"/>
          <w:highlight w:val="yellow"/>
        </w:rPr>
        <w:t xml:space="preserve">[One sentence on what you changed because of your reviewer’s feedback.]</w:t>
      </w:r>
    </w:p>
    <w:p>
      <w:pPr>
        <w:jc w:val="center"/>
      </w:pPr>
      <w:r>
        <w:rPr>
          <w:i/>
          <w:iCs/>
          <w:color w:val="767171"/>
          <w:sz w:val="19"/>
          <w:szCs w:val="19"/>
          <w:highlight w:val="yellow"/>
        </w:rPr>
        <w:t xml:space="preserve">[ Paste your reviewer’s stamp image here ]</w:t>
      </w:r>
    </w:p>
    <w:p>
      <w:r>
        <w:br w:type="page"/>
      </w:r>
    </w:p>
    <w:p>
      <w:pPr>
        <w:pStyle w:val="Heading1"/>
        <w:spacing w:after="80" w:before="280"/>
      </w:pPr>
      <w:r>
        <w:rPr>
          <w:b/>
          <w:bCs/>
          <w:color w:val="1F3864"/>
          <w:sz w:val="28"/>
          <w:szCs w:val="28"/>
        </w:rPr>
        <w:t xml:space="preserve">1.  Requirements and Approach</w:t>
      </w:r>
    </w:p>
    <w:p>
      <w:pPr>
        <w:spacing w:after="160" w:before="60"/>
      </w:pPr>
      <w:r>
        <w:rPr>
          <w:i/>
          <w:iCs/>
          <w:color w:val="767171"/>
          <w:sz w:val="19"/>
          <w:szCs w:val="19"/>
        </w:rPr>
        <w:t xml:space="preserve">Rubric: the requirements of the project and your approach to solving it, in your own words (2 points). Two or three paragraphs. Say what you set out to show and how you went about it — not a retelling of the step-by-step. If you built the model without the step-by-step instructions, say so here.</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2.  The DEM and Its Metadata</w:t>
      </w:r>
    </w:p>
    <w:p>
      <w:pPr>
        <w:spacing w:after="160" w:before="60"/>
      </w:pPr>
      <w:r>
        <w:rPr>
          <w:i/>
          <w:iCs/>
          <w:color w:val="767171"/>
          <w:sz w:val="19"/>
          <w:szCs w:val="19"/>
        </w:rPr>
        <w:t xml:space="preserve">Rubric: the three metadata values for the DEM and what each means for your result (2 points). Confirm them yourself from READ-ME-FIRST.txt, the raster’s properties and the tile’s metadata file — do not copy them from Figure A.</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400"/>
        <w:gridCol w:w="4360"/>
      </w:tblGrid>
      <w:tr>
        <w:trPr>
          <w:cantSplit/>
          <w:tblHeader/>
        </w:trPr>
        <w:tc>
          <w:tcPr>
            <w:tcW w:type="dxa" w:w="2600"/>
            <w:shd w:fill="D9E2F3" w:color="auto" w:val="clear"/>
            <w:tcMar>
              <w:top w:type="dxa" w:w="90"/>
              <w:left w:type="dxa" w:w="120"/>
              <w:bottom w:type="dxa" w:w="90"/>
              <w:right w:type="dxa" w:w="120"/>
            </w:tcMar>
          </w:tcPr>
          <w:p>
            <w:r>
              <w:rPr>
                <w:b/>
                <w:bCs/>
                <w:color w:val="1F3864"/>
                <w:sz w:val="19"/>
                <w:szCs w:val="19"/>
              </w:rPr>
              <w:t xml:space="preserve">Metadata value</w:t>
            </w:r>
          </w:p>
        </w:tc>
        <w:tc>
          <w:tcPr>
            <w:tcW w:type="dxa" w:w="2400"/>
            <w:shd w:fill="D9E2F3" w:color="auto" w:val="clear"/>
            <w:tcMar>
              <w:top w:type="dxa" w:w="90"/>
              <w:left w:type="dxa" w:w="120"/>
              <w:bottom w:type="dxa" w:w="90"/>
              <w:right w:type="dxa" w:w="120"/>
            </w:tcMar>
          </w:tcPr>
          <w:p>
            <w:r>
              <w:rPr>
                <w:b/>
                <w:bCs/>
                <w:color w:val="1F3864"/>
                <w:sz w:val="19"/>
                <w:szCs w:val="19"/>
              </w:rPr>
              <w:t xml:space="preserve">What you found</w:t>
            </w:r>
          </w:p>
        </w:tc>
        <w:tc>
          <w:tcPr>
            <w:tcW w:type="dxa" w:w="4360"/>
            <w:shd w:fill="D9E2F3" w:color="auto" w:val="clear"/>
            <w:tcMar>
              <w:top w:type="dxa" w:w="90"/>
              <w:left w:type="dxa" w:w="120"/>
              <w:bottom w:type="dxa" w:w="90"/>
              <w:right w:type="dxa" w:w="120"/>
            </w:tcMar>
          </w:tcPr>
          <w:p>
            <w:r>
              <w:rPr>
                <w:b/>
                <w:bCs/>
                <w:color w:val="1F3864"/>
                <w:sz w:val="19"/>
                <w:szCs w:val="19"/>
              </w:rPr>
              <w:t xml:space="preserve">What it means for your result</w:t>
            </w:r>
          </w:p>
        </w:tc>
      </w:tr>
      <w:tr>
        <w:trPr>
          <w:cantSplit/>
        </w:trPr>
        <w:tc>
          <w:tcPr>
            <w:tcW w:type="dxa" w:w="2600"/>
            <w:tcMar>
              <w:top w:type="dxa" w:w="90"/>
              <w:left w:type="dxa" w:w="120"/>
              <w:bottom w:type="dxa" w:w="90"/>
              <w:right w:type="dxa" w:w="120"/>
            </w:tcMar>
          </w:tcPr>
          <w:p>
            <w:r>
              <w:rPr>
                <w:color w:val="000000"/>
                <w:sz w:val="19"/>
                <w:szCs w:val="19"/>
              </w:rPr>
              <w:t xml:space="preserve">Publication date and source dates</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000000"/>
                <w:sz w:val="19"/>
                <w:szCs w:val="19"/>
              </w:rPr>
              <w:t xml:space="preserve">Vertical datum and units</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3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600"/>
            <w:tcMar>
              <w:top w:type="dxa" w:w="90"/>
              <w:left w:type="dxa" w:w="120"/>
              <w:bottom w:type="dxa" w:w="90"/>
              <w:right w:type="dxa" w:w="120"/>
            </w:tcMar>
          </w:tcPr>
          <w:p>
            <w:r>
              <w:rPr>
                <w:color w:val="000000"/>
                <w:sz w:val="19"/>
                <w:szCs w:val="19"/>
              </w:rPr>
              <w:t xml:space="preserve">Cell size</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1. Metadata for the DEM.</w:t>
      </w:r>
    </w:p>
    <w:p>
      <w:pPr>
        <w:pStyle w:val="Heading1"/>
        <w:spacing w:after="80" w:before="280"/>
      </w:pPr>
      <w:r>
        <w:rPr>
          <w:b/>
          <w:bCs/>
          <w:color w:val="1F3864"/>
          <w:sz w:val="28"/>
          <w:szCs w:val="28"/>
        </w:rPr>
        <w:t xml:space="preserve">3.  The Model</w:t>
      </w:r>
    </w:p>
    <w:p>
      <w:pPr>
        <w:spacing w:after="160" w:before="60"/>
      </w:pPr>
      <w:r>
        <w:rPr>
          <w:i/>
          <w:iCs/>
          <w:color w:val="767171"/>
          <w:sz w:val="19"/>
          <w:szCs w:val="19"/>
        </w:rPr>
        <w:t xml:space="preserve">Rubric: a description a reader could repeat from — each tool, its settings, and every input, intermediate and output dataset with its type (2 points). Fill one row per tool, in the order they run.</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100"/>
        <w:gridCol w:w="2000"/>
        <w:gridCol w:w="1700"/>
        <w:gridCol w:w="1260"/>
      </w:tblGrid>
      <w:tr>
        <w:trPr>
          <w:cantSplit/>
          <w:tblHeader/>
        </w:trPr>
        <w:tc>
          <w:tcPr>
            <w:tcW w:type="dxa" w:w="2300"/>
            <w:shd w:fill="D9E2F3" w:color="auto" w:val="clear"/>
            <w:tcMar>
              <w:top w:type="dxa" w:w="90"/>
              <w:left w:type="dxa" w:w="120"/>
              <w:bottom w:type="dxa" w:w="90"/>
              <w:right w:type="dxa" w:w="120"/>
            </w:tcMar>
          </w:tcPr>
          <w:p>
            <w:r>
              <w:rPr>
                <w:b/>
                <w:bCs/>
                <w:color w:val="1F3864"/>
                <w:sz w:val="19"/>
                <w:szCs w:val="19"/>
              </w:rPr>
              <w:t xml:space="preserve">Tool</w:t>
            </w:r>
          </w:p>
        </w:tc>
        <w:tc>
          <w:tcPr>
            <w:tcW w:type="dxa" w:w="2100"/>
            <w:shd w:fill="D9E2F3" w:color="auto" w:val="clear"/>
            <w:tcMar>
              <w:top w:type="dxa" w:w="90"/>
              <w:left w:type="dxa" w:w="120"/>
              <w:bottom w:type="dxa" w:w="90"/>
              <w:right w:type="dxa" w:w="120"/>
            </w:tcMar>
          </w:tcPr>
          <w:p>
            <w:r>
              <w:rPr>
                <w:b/>
                <w:bCs/>
                <w:color w:val="1F3864"/>
                <w:sz w:val="19"/>
                <w:szCs w:val="19"/>
              </w:rPr>
              <w:t xml:space="preserve">Settings</w:t>
            </w:r>
          </w:p>
        </w:tc>
        <w:tc>
          <w:tcPr>
            <w:tcW w:type="dxa" w:w="2000"/>
            <w:shd w:fill="D9E2F3" w:color="auto" w:val="clear"/>
            <w:tcMar>
              <w:top w:type="dxa" w:w="90"/>
              <w:left w:type="dxa" w:w="120"/>
              <w:bottom w:type="dxa" w:w="90"/>
              <w:right w:type="dxa" w:w="120"/>
            </w:tcMar>
          </w:tcPr>
          <w:p>
            <w:r>
              <w:rPr>
                <w:b/>
                <w:bCs/>
                <w:color w:val="1F3864"/>
                <w:sz w:val="19"/>
                <w:szCs w:val="19"/>
              </w:rPr>
              <w:t xml:space="preserve">Input dataset(s)</w:t>
            </w:r>
          </w:p>
        </w:tc>
        <w:tc>
          <w:tcPr>
            <w:tcW w:type="dxa" w:w="1700"/>
            <w:shd w:fill="D9E2F3" w:color="auto" w:val="clear"/>
            <w:tcMar>
              <w:top w:type="dxa" w:w="90"/>
              <w:left w:type="dxa" w:w="120"/>
              <w:bottom w:type="dxa" w:w="90"/>
              <w:right w:type="dxa" w:w="120"/>
            </w:tcMar>
          </w:tcPr>
          <w:p>
            <w:r>
              <w:rPr>
                <w:b/>
                <w:bCs/>
                <w:color w:val="1F3864"/>
                <w:sz w:val="19"/>
                <w:szCs w:val="19"/>
              </w:rPr>
              <w:t xml:space="preserve">Output dataset</w:t>
            </w:r>
          </w:p>
        </w:tc>
        <w:tc>
          <w:tcPr>
            <w:tcW w:type="dxa" w:w="1260"/>
            <w:shd w:fill="D9E2F3" w:color="auto" w:val="clear"/>
            <w:tcMar>
              <w:top w:type="dxa" w:w="90"/>
              <w:left w:type="dxa" w:w="120"/>
              <w:bottom w:type="dxa" w:w="90"/>
              <w:right w:type="dxa" w:w="120"/>
            </w:tcMar>
          </w:tcPr>
          <w:p>
            <w:r>
              <w:rPr>
                <w:b/>
                <w:bCs/>
                <w:color w:val="1F3864"/>
                <w:sz w:val="19"/>
                <w:szCs w:val="19"/>
              </w:rPr>
              <w:t xml:space="preserve">Type</w:t>
            </w:r>
          </w:p>
        </w:tc>
      </w:tr>
      <w:tr>
        <w:trPr>
          <w:cantSplit/>
        </w:trPr>
        <w:tc>
          <w:tcPr>
            <w:tcW w:type="dxa" w:w="2300"/>
            <w:tcMar>
              <w:top w:type="dxa" w:w="90"/>
              <w:left w:type="dxa" w:w="120"/>
              <w:bottom w:type="dxa" w:w="90"/>
              <w:right w:type="dxa" w:w="120"/>
            </w:tcMar>
          </w:tcPr>
          <w:p>
            <w:r>
              <w:rPr>
                <w:color w:val="000000"/>
                <w:sz w:val="19"/>
                <w:szCs w:val="19"/>
              </w:rPr>
              <w:t xml:space="preserve">Project Raster</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Slope</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Aspect</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Reclassify (slope)</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Reclassify (aspect)</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Raster Calculator (altitude, with Shift)</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Raster Calculator (all three agree)</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Raster Calculator (geometric mean)</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Cell Statistics (maximum)</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Cell Statistics (minimum)</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Raster Calculator (rule spread)</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2. Model description — one row per tool.</w:t>
      </w:r>
    </w:p>
    <w:p>
      <w:pPr>
        <w:sectPr>
          <w:pgSz w:w="12240" w:h="15840" w:orient="portrait"/>
          <w:pgMar w:top="1440" w:right="1440" w:bottom="1440" w:left="1440" w:header="708" w:footer="708" w:gutter="0"/>
          <w:pgNumType/>
          <w:docGrid w:linePitch="360"/>
        </w:sectPr>
      </w:pPr>
    </w:p>
    <w:p>
      <w:pPr>
        <w:spacing w:after="160" w:before="60"/>
      </w:pPr>
      <w:r>
        <w:rPr>
          <w:i/>
          <w:iCs/>
          <w:color w:val="767171"/>
          <w:sz w:val="19"/>
          <w:szCs w:val="19"/>
        </w:rPr>
        <w:t xml:space="preserve">Rubric: a full-page model figure exported from ModelBuilder, all tools and datasets readable (2 points). Insert the exported PNG file itself. Do not screen-capture it, redraw it, or run it through an AI “enhancer” — that changes what the figure shows. This page is landscape so a wide model stays readable.</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1. The complete model, exported from ModelBuilder with Export ▸ Export To Graphic.</w:t>
      </w:r>
    </w:p>
    <w:p>
      <w:pPr>
        <w:sectPr>
          <w:pgSz w:w="15840" w:h="12240" w:orient="landscape"/>
          <w:pgMar w:top="1440" w:right="1440" w:bottom="1440" w:left="1440" w:header="708" w:footer="708" w:gutter="0"/>
          <w:pgNumType/>
          <w:docGrid w:linePitch="360"/>
        </w:sectPr>
      </w:pPr>
    </w:p>
    <w:p>
      <w:pPr>
        <w:spacing w:after="160" w:before="60"/>
      </w:pPr>
      <w:r>
        <w:rPr>
          <w:i/>
          <w:iCs/>
          <w:color w:val="767171"/>
          <w:sz w:val="19"/>
          <w:szCs w:val="19"/>
        </w:rPr>
        <w:t xml:space="preserve">Rubric: a screen capture of the toolbox interface with the shift parameter exposed (2 points).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2. The model’s tool dialog, with the Shift parameter exposed.</w:t>
      </w:r>
    </w:p>
    <w:p>
      <w:pPr>
        <w:pStyle w:val="Heading1"/>
        <w:spacing w:after="80" w:before="280"/>
      </w:pPr>
      <w:r>
        <w:rPr>
          <w:b/>
          <w:bCs/>
          <w:color w:val="1F3864"/>
          <w:sz w:val="28"/>
          <w:szCs w:val="28"/>
        </w:rPr>
        <w:t xml:space="preserve">4.  Snowbird by Hazard Class</w:t>
      </w:r>
    </w:p>
    <w:p>
      <w:pPr>
        <w:spacing w:after="160" w:before="60"/>
      </w:pPr>
      <w:r>
        <w:rPr>
          <w:i/>
          <w:iCs/>
          <w:color w:val="767171"/>
          <w:sz w:val="19"/>
          <w:szCs w:val="19"/>
        </w:rPr>
        <w:t xml:space="preserve">Rubric: the model runs end to end from its tool dialog and its Step 8 table of Snowbird’s areas at shift 0 matches the check values (part of the 4 points for a working model). Tabulate Area reports square meters; divide by 1,000,000.</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cantSplit/>
          <w:tblHeader/>
        </w:trPr>
        <w:tc>
          <w:tcPr>
            <w:tcW w:type="dxa" w:w="1560"/>
            <w:shd w:fill="D9E2F3" w:color="auto" w:val="clear"/>
            <w:tcMar>
              <w:top w:type="dxa" w:w="90"/>
              <w:left w:type="dxa" w:w="120"/>
              <w:bottom w:type="dxa" w:w="90"/>
              <w:right w:type="dxa" w:w="120"/>
            </w:tcMar>
          </w:tcPr>
          <w:p>
            <w:r>
              <w:rPr>
                <w:b/>
                <w:bCs/>
                <w:color w:val="1F3864"/>
                <w:sz w:val="19"/>
                <w:szCs w:val="19"/>
              </w:rPr>
              <w:t xml:space="preserve">Low</w:t>
            </w:r>
          </w:p>
        </w:tc>
        <w:tc>
          <w:tcPr>
            <w:tcW w:type="dxa" w:w="1560"/>
            <w:shd w:fill="D9E2F3" w:color="auto" w:val="clear"/>
            <w:tcMar>
              <w:top w:type="dxa" w:w="90"/>
              <w:left w:type="dxa" w:w="120"/>
              <w:bottom w:type="dxa" w:w="90"/>
              <w:right w:type="dxa" w:w="120"/>
            </w:tcMar>
          </w:tcPr>
          <w:p>
            <w:r>
              <w:rPr>
                <w:b/>
                <w:bCs/>
                <w:color w:val="1F3864"/>
                <w:sz w:val="19"/>
                <w:szCs w:val="19"/>
              </w:rPr>
              <w:t xml:space="preserve">Moderate</w:t>
            </w:r>
          </w:p>
        </w:tc>
        <w:tc>
          <w:tcPr>
            <w:tcW w:type="dxa" w:w="1560"/>
            <w:shd w:fill="D9E2F3" w:color="auto" w:val="clear"/>
            <w:tcMar>
              <w:top w:type="dxa" w:w="90"/>
              <w:left w:type="dxa" w:w="120"/>
              <w:bottom w:type="dxa" w:w="90"/>
              <w:right w:type="dxa" w:w="120"/>
            </w:tcMar>
          </w:tcPr>
          <w:p>
            <w:r>
              <w:rPr>
                <w:b/>
                <w:bCs/>
                <w:color w:val="1F3864"/>
                <w:sz w:val="19"/>
                <w:szCs w:val="19"/>
              </w:rPr>
              <w:t xml:space="preserve">Considerable</w:t>
            </w:r>
          </w:p>
        </w:tc>
        <w:tc>
          <w:tcPr>
            <w:tcW w:type="dxa" w:w="1560"/>
            <w:shd w:fill="D9E2F3" w:color="auto" w:val="clear"/>
            <w:tcMar>
              <w:top w:type="dxa" w:w="90"/>
              <w:left w:type="dxa" w:w="120"/>
              <w:bottom w:type="dxa" w:w="90"/>
              <w:right w:type="dxa" w:w="120"/>
            </w:tcMar>
          </w:tcPr>
          <w:p>
            <w:r>
              <w:rPr>
                <w:b/>
                <w:bCs/>
                <w:color w:val="1F3864"/>
                <w:sz w:val="19"/>
                <w:szCs w:val="19"/>
              </w:rPr>
              <w:t xml:space="preserve">High</w:t>
            </w:r>
          </w:p>
        </w:tc>
        <w:tc>
          <w:tcPr>
            <w:tcW w:type="dxa" w:w="1560"/>
            <w:shd w:fill="D9E2F3" w:color="auto" w:val="clear"/>
            <w:tcMar>
              <w:top w:type="dxa" w:w="90"/>
              <w:left w:type="dxa" w:w="120"/>
              <w:bottom w:type="dxa" w:w="90"/>
              <w:right w:type="dxa" w:w="120"/>
            </w:tcMar>
          </w:tcPr>
          <w:p>
            <w:r>
              <w:rPr>
                <w:b/>
                <w:bCs/>
                <w:color w:val="1F3864"/>
                <w:sz w:val="19"/>
                <w:szCs w:val="19"/>
              </w:rPr>
              <w:t xml:space="preserve">Extreme</w:t>
            </w:r>
          </w:p>
        </w:tc>
        <w:tc>
          <w:tcPr>
            <w:tcW w:type="dxa" w:w="1560"/>
            <w:shd w:fill="D9E2F3" w:color="auto" w:val="clear"/>
            <w:tcMar>
              <w:top w:type="dxa" w:w="90"/>
              <w:left w:type="dxa" w:w="120"/>
              <w:bottom w:type="dxa" w:w="90"/>
              <w:right w:type="dxa" w:w="120"/>
            </w:tcMar>
          </w:tcPr>
          <w:p>
            <w:r>
              <w:rPr>
                <w:b/>
                <w:bCs/>
                <w:color w:val="1F3864"/>
                <w:sz w:val="19"/>
                <w:szCs w:val="19"/>
              </w:rPr>
              <w:t xml:space="preserve">Total</w:t>
            </w:r>
          </w:p>
        </w:tc>
      </w:tr>
      <w:tr>
        <w:trPr>
          <w:cantSplit/>
        </w:trPr>
        <w:tc>
          <w:tcPr>
            <w:tcW w:type="dxa" w:w="156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c>
          <w:tcPr>
            <w:tcW w:type="dxa" w:w="15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3. Snowbird’s area in each hazard class at shift 0 (km²), geometric mean.</w:t>
      </w:r>
    </w:p>
    <w:p>
      <w:pPr>
        <w:pStyle w:val="Heading1"/>
        <w:spacing w:after="80" w:before="280"/>
      </w:pPr>
      <w:r>
        <w:rPr>
          <w:b/>
          <w:bCs/>
          <w:color w:val="1F3864"/>
          <w:sz w:val="28"/>
          <w:szCs w:val="28"/>
        </w:rPr>
        <w:t xml:space="preserve">5.  All Three Agree</w:t>
      </w:r>
    </w:p>
    <w:p>
      <w:pPr>
        <w:spacing w:after="160" w:before="60"/>
      </w:pPr>
      <w:r>
        <w:rPr>
          <w:i/>
          <w:iCs/>
          <w:color w:val="767171"/>
          <w:sz w:val="19"/>
          <w:szCs w:val="19"/>
        </w:rPr>
        <w:t xml:space="preserve">Rubric: the “all three agree” result and why it is the wrong answer (2 points). Give its check value — how much of Snowbird it leaves unclassified — and explain, with one cell as an example, what the rule throws away.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6.  Elevation Bands and Combination Rules</w:t>
      </w:r>
    </w:p>
    <w:p>
      <w:pPr>
        <w:spacing w:after="160" w:before="60"/>
      </w:pPr>
      <w:r>
        <w:rPr>
          <w:i/>
          <w:iCs/>
          <w:color w:val="767171"/>
          <w:sz w:val="19"/>
          <w:szCs w:val="19"/>
        </w:rPr>
        <w:t xml:space="preserve">Rubric: one table with the baseline and at least three more runs, giving the shift, the altitude-class-5 area, and the High + Extreme area of Snowbird under each of the three rules (4 points). Choose your shifts deliberately and say why.</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1500"/>
        <w:gridCol w:w="1900"/>
        <w:gridCol w:w="1880"/>
        <w:gridCol w:w="1880"/>
      </w:tblGrid>
      <w:tr>
        <w:trPr>
          <w:cantSplit/>
          <w:tblHeader/>
        </w:trPr>
        <w:tc>
          <w:tcPr>
            <w:tcW w:type="dxa" w:w="1200"/>
            <w:shd w:fill="D9E2F3" w:color="auto" w:val="clear"/>
            <w:tcMar>
              <w:top w:type="dxa" w:w="90"/>
              <w:left w:type="dxa" w:w="120"/>
              <w:bottom w:type="dxa" w:w="90"/>
              <w:right w:type="dxa" w:w="120"/>
            </w:tcMar>
          </w:tcPr>
          <w:p>
            <w:r>
              <w:rPr>
                <w:b/>
                <w:bCs/>
                <w:color w:val="1F3864"/>
                <w:sz w:val="19"/>
                <w:szCs w:val="19"/>
              </w:rPr>
              <w:t xml:space="preserve">Run</w:t>
            </w:r>
          </w:p>
        </w:tc>
        <w:tc>
          <w:tcPr>
            <w:tcW w:type="dxa" w:w="1000"/>
            <w:shd w:fill="D9E2F3" w:color="auto" w:val="clear"/>
            <w:tcMar>
              <w:top w:type="dxa" w:w="90"/>
              <w:left w:type="dxa" w:w="120"/>
              <w:bottom w:type="dxa" w:w="90"/>
              <w:right w:type="dxa" w:w="120"/>
            </w:tcMar>
          </w:tcPr>
          <w:p>
            <w:r>
              <w:rPr>
                <w:b/>
                <w:bCs/>
                <w:color w:val="1F3864"/>
                <w:sz w:val="19"/>
                <w:szCs w:val="19"/>
              </w:rPr>
              <w:t xml:space="preserve">Shift (m)</w:t>
            </w:r>
          </w:p>
        </w:tc>
        <w:tc>
          <w:tcPr>
            <w:tcW w:type="dxa" w:w="1500"/>
            <w:shd w:fill="D9E2F3" w:color="auto" w:val="clear"/>
            <w:tcMar>
              <w:top w:type="dxa" w:w="90"/>
              <w:left w:type="dxa" w:w="120"/>
              <w:bottom w:type="dxa" w:w="90"/>
              <w:right w:type="dxa" w:w="120"/>
            </w:tcMar>
          </w:tcPr>
          <w:p>
            <w:r>
              <w:rPr>
                <w:b/>
                <w:bCs/>
                <w:color w:val="1F3864"/>
                <w:sz w:val="19"/>
                <w:szCs w:val="19"/>
              </w:rPr>
              <w:t xml:space="preserve">Altitude class 5</w:t>
            </w:r>
          </w:p>
        </w:tc>
        <w:tc>
          <w:tcPr>
            <w:tcW w:type="dxa" w:w="1900"/>
            <w:shd w:fill="D9E2F3" w:color="auto" w:val="clear"/>
            <w:tcMar>
              <w:top w:type="dxa" w:w="90"/>
              <w:left w:type="dxa" w:w="120"/>
              <w:bottom w:type="dxa" w:w="90"/>
              <w:right w:type="dxa" w:w="120"/>
            </w:tcMar>
          </w:tcPr>
          <w:p>
            <w:r>
              <w:rPr>
                <w:b/>
                <w:bCs/>
                <w:color w:val="1F3864"/>
                <w:sz w:val="19"/>
                <w:szCs w:val="19"/>
              </w:rPr>
              <w:t xml:space="preserve">High + Extreme, geometric mean</w:t>
            </w:r>
          </w:p>
        </w:tc>
        <w:tc>
          <w:tcPr>
            <w:tcW w:type="dxa" w:w="1880"/>
            <w:shd w:fill="D9E2F3" w:color="auto" w:val="clear"/>
            <w:tcMar>
              <w:top w:type="dxa" w:w="90"/>
              <w:left w:type="dxa" w:w="120"/>
              <w:bottom w:type="dxa" w:w="90"/>
              <w:right w:type="dxa" w:w="120"/>
            </w:tcMar>
          </w:tcPr>
          <w:p>
            <w:r>
              <w:rPr>
                <w:b/>
                <w:bCs/>
                <w:color w:val="1F3864"/>
                <w:sz w:val="19"/>
                <w:szCs w:val="19"/>
              </w:rPr>
              <w:t xml:space="preserve">High + Extreme, worst factor</w:t>
            </w:r>
          </w:p>
        </w:tc>
        <w:tc>
          <w:tcPr>
            <w:tcW w:type="dxa" w:w="1880"/>
            <w:shd w:fill="D9E2F3" w:color="auto" w:val="clear"/>
            <w:tcMar>
              <w:top w:type="dxa" w:w="90"/>
              <w:left w:type="dxa" w:w="120"/>
              <w:bottom w:type="dxa" w:w="90"/>
              <w:right w:type="dxa" w:w="120"/>
            </w:tcMar>
          </w:tcPr>
          <w:p>
            <w:r>
              <w:rPr>
                <w:b/>
                <w:bCs/>
                <w:color w:val="1F3864"/>
                <w:sz w:val="19"/>
                <w:szCs w:val="19"/>
              </w:rPr>
              <w:t xml:space="preserve">High + Extreme, best factor</w:t>
            </w:r>
          </w:p>
        </w:tc>
      </w:tr>
      <w:tr>
        <w:trPr>
          <w:cantSplit/>
        </w:trPr>
        <w:tc>
          <w:tcPr>
            <w:tcW w:type="dxa" w:w="1200"/>
            <w:tcMar>
              <w:top w:type="dxa" w:w="90"/>
              <w:left w:type="dxa" w:w="120"/>
              <w:bottom w:type="dxa" w:w="90"/>
              <w:right w:type="dxa" w:w="120"/>
            </w:tcMar>
          </w:tcPr>
          <w:p>
            <w:r>
              <w:rPr>
                <w:color w:val="000000"/>
                <w:sz w:val="19"/>
                <w:szCs w:val="19"/>
              </w:rPr>
              <w:t xml:space="preserve">Baseline</w:t>
            </w:r>
          </w:p>
        </w:tc>
        <w:tc>
          <w:tcPr>
            <w:tcW w:type="dxa" w:w="1000"/>
            <w:tcMar>
              <w:top w:type="dxa" w:w="90"/>
              <w:left w:type="dxa" w:w="120"/>
              <w:bottom w:type="dxa" w:w="90"/>
              <w:right w:type="dxa" w:w="120"/>
            </w:tcMar>
          </w:tcPr>
          <w:p>
            <w:r>
              <w:rPr>
                <w:color w:val="000000"/>
                <w:sz w:val="19"/>
                <w:szCs w:val="19"/>
              </w:rPr>
              <w:t xml:space="preserve">0</w:t>
            </w:r>
          </w:p>
        </w:tc>
        <w:tc>
          <w:tcPr>
            <w:tcW w:type="dxa" w:w="1500"/>
            <w:tcMar>
              <w:top w:type="dxa" w:w="90"/>
              <w:left w:type="dxa" w:w="120"/>
              <w:bottom w:type="dxa" w:w="90"/>
              <w:right w:type="dxa" w:w="120"/>
            </w:tcMar>
          </w:tcPr>
          <w:p>
            <w:r>
              <w:rPr>
                <w:color w:val="767171"/>
                <w:sz w:val="19"/>
                <w:szCs w:val="19"/>
              </w:rPr>
              <w:t xml:space="preserve"> </w:t>
            </w:r>
          </w:p>
        </w:tc>
        <w:tc>
          <w:tcPr>
            <w:tcW w:type="dxa" w:w="1900"/>
            <w:tcMar>
              <w:top w:type="dxa" w:w="90"/>
              <w:left w:type="dxa" w:w="120"/>
              <w:bottom w:type="dxa" w:w="90"/>
              <w:right w:type="dxa" w:w="120"/>
            </w:tcMar>
          </w:tcPr>
          <w:p>
            <w:r>
              <w:rPr>
                <w:color w:val="767171"/>
                <w:sz w:val="19"/>
                <w:szCs w:val="19"/>
              </w:rPr>
              <w:t xml:space="preserve"> </w:t>
            </w:r>
          </w:p>
        </w:tc>
        <w:tc>
          <w:tcPr>
            <w:tcW w:type="dxa" w:w="1880"/>
            <w:tcMar>
              <w:top w:type="dxa" w:w="90"/>
              <w:left w:type="dxa" w:w="120"/>
              <w:bottom w:type="dxa" w:w="90"/>
              <w:right w:type="dxa" w:w="120"/>
            </w:tcMar>
          </w:tcPr>
          <w:p>
            <w:r>
              <w:rPr>
                <w:color w:val="767171"/>
                <w:sz w:val="19"/>
                <w:szCs w:val="19"/>
              </w:rPr>
              <w:t xml:space="preserve"> </w:t>
            </w:r>
          </w:p>
        </w:tc>
        <w:tc>
          <w:tcPr>
            <w:tcW w:type="dxa" w:w="1880"/>
            <w:tcMar>
              <w:top w:type="dxa" w:w="90"/>
              <w:left w:type="dxa" w:w="120"/>
              <w:bottom w:type="dxa" w:w="90"/>
              <w:right w:type="dxa" w:w="120"/>
            </w:tcMar>
          </w:tcPr>
          <w:p>
            <w:r>
              <w:rPr>
                <w:color w:val="767171"/>
                <w:sz w:val="19"/>
                <w:szCs w:val="19"/>
              </w:rPr>
              <w:t xml:space="preserve"> </w:t>
            </w:r>
          </w:p>
        </w:tc>
      </w:tr>
      <w:tr>
        <w:trPr>
          <w:cantSplit/>
        </w:trPr>
        <w:tc>
          <w:tcPr>
            <w:tcW w:type="dxa" w:w="1200"/>
            <w:shd w:fill="F2F2F2" w:color="auto" w:val="clear"/>
            <w:tcMar>
              <w:top w:type="dxa" w:w="90"/>
              <w:left w:type="dxa" w:w="120"/>
              <w:bottom w:type="dxa" w:w="90"/>
              <w:right w:type="dxa" w:w="120"/>
            </w:tcMar>
          </w:tcPr>
          <w:p>
            <w:r>
              <w:rPr>
                <w:color w:val="767171"/>
                <w:sz w:val="19"/>
                <w:szCs w:val="19"/>
              </w:rPr>
              <w:t xml:space="preserve"> </w:t>
            </w:r>
          </w:p>
        </w:tc>
        <w:tc>
          <w:tcPr>
            <w:tcW w:type="dxa" w:w="10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900"/>
            <w:shd w:fill="F2F2F2" w:color="auto" w:val="clear"/>
            <w:tcMar>
              <w:top w:type="dxa" w:w="90"/>
              <w:left w:type="dxa" w:w="120"/>
              <w:bottom w:type="dxa" w:w="90"/>
              <w:right w:type="dxa" w:w="120"/>
            </w:tcMar>
          </w:tcPr>
          <w:p>
            <w:r>
              <w:rPr>
                <w:color w:val="767171"/>
                <w:sz w:val="19"/>
                <w:szCs w:val="19"/>
              </w:rPr>
              <w:t xml:space="preserve"> </w:t>
            </w:r>
          </w:p>
        </w:tc>
        <w:tc>
          <w:tcPr>
            <w:tcW w:type="dxa" w:w="1880"/>
            <w:shd w:fill="F2F2F2" w:color="auto" w:val="clear"/>
            <w:tcMar>
              <w:top w:type="dxa" w:w="90"/>
              <w:left w:type="dxa" w:w="120"/>
              <w:bottom w:type="dxa" w:w="90"/>
              <w:right w:type="dxa" w:w="120"/>
            </w:tcMar>
          </w:tcPr>
          <w:p>
            <w:r>
              <w:rPr>
                <w:color w:val="767171"/>
                <w:sz w:val="19"/>
                <w:szCs w:val="19"/>
              </w:rPr>
              <w:t xml:space="preserve"> </w:t>
            </w:r>
          </w:p>
        </w:tc>
        <w:tc>
          <w:tcPr>
            <w:tcW w:type="dxa" w:w="188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200"/>
            <w:tcMar>
              <w:top w:type="dxa" w:w="90"/>
              <w:left w:type="dxa" w:w="120"/>
              <w:bottom w:type="dxa" w:w="90"/>
              <w:right w:type="dxa" w:w="120"/>
            </w:tcMar>
          </w:tcPr>
          <w:p>
            <w:r>
              <w:rPr>
                <w:color w:val="767171"/>
                <w:sz w:val="19"/>
                <w:szCs w:val="19"/>
              </w:rPr>
              <w:t xml:space="preserve"> </w:t>
            </w:r>
          </w:p>
        </w:tc>
        <w:tc>
          <w:tcPr>
            <w:tcW w:type="dxa" w:w="1000"/>
            <w:tcMar>
              <w:top w:type="dxa" w:w="90"/>
              <w:left w:type="dxa" w:w="120"/>
              <w:bottom w:type="dxa" w:w="90"/>
              <w:right w:type="dxa" w:w="120"/>
            </w:tcMar>
          </w:tcPr>
          <w:p>
            <w:r>
              <w:rPr>
                <w:color w:val="767171"/>
                <w:sz w:val="19"/>
                <w:szCs w:val="19"/>
              </w:rPr>
              <w:t xml:space="preserve"> </w:t>
            </w:r>
          </w:p>
        </w:tc>
        <w:tc>
          <w:tcPr>
            <w:tcW w:type="dxa" w:w="1500"/>
            <w:tcMar>
              <w:top w:type="dxa" w:w="90"/>
              <w:left w:type="dxa" w:w="120"/>
              <w:bottom w:type="dxa" w:w="90"/>
              <w:right w:type="dxa" w:w="120"/>
            </w:tcMar>
          </w:tcPr>
          <w:p>
            <w:r>
              <w:rPr>
                <w:color w:val="767171"/>
                <w:sz w:val="19"/>
                <w:szCs w:val="19"/>
              </w:rPr>
              <w:t xml:space="preserve"> </w:t>
            </w:r>
          </w:p>
        </w:tc>
        <w:tc>
          <w:tcPr>
            <w:tcW w:type="dxa" w:w="1900"/>
            <w:tcMar>
              <w:top w:type="dxa" w:w="90"/>
              <w:left w:type="dxa" w:w="120"/>
              <w:bottom w:type="dxa" w:w="90"/>
              <w:right w:type="dxa" w:w="120"/>
            </w:tcMar>
          </w:tcPr>
          <w:p>
            <w:r>
              <w:rPr>
                <w:color w:val="767171"/>
                <w:sz w:val="19"/>
                <w:szCs w:val="19"/>
              </w:rPr>
              <w:t xml:space="preserve"> </w:t>
            </w:r>
          </w:p>
        </w:tc>
        <w:tc>
          <w:tcPr>
            <w:tcW w:type="dxa" w:w="1880"/>
            <w:tcMar>
              <w:top w:type="dxa" w:w="90"/>
              <w:left w:type="dxa" w:w="120"/>
              <w:bottom w:type="dxa" w:w="90"/>
              <w:right w:type="dxa" w:w="120"/>
            </w:tcMar>
          </w:tcPr>
          <w:p>
            <w:r>
              <w:rPr>
                <w:color w:val="767171"/>
                <w:sz w:val="19"/>
                <w:szCs w:val="19"/>
              </w:rPr>
              <w:t xml:space="preserve"> </w:t>
            </w:r>
          </w:p>
        </w:tc>
        <w:tc>
          <w:tcPr>
            <w:tcW w:type="dxa" w:w="1880"/>
            <w:tcMar>
              <w:top w:type="dxa" w:w="90"/>
              <w:left w:type="dxa" w:w="120"/>
              <w:bottom w:type="dxa" w:w="90"/>
              <w:right w:type="dxa" w:w="120"/>
            </w:tcMar>
          </w:tcPr>
          <w:p>
            <w:r>
              <w:rPr>
                <w:color w:val="767171"/>
                <w:sz w:val="19"/>
                <w:szCs w:val="19"/>
              </w:rPr>
              <w:t xml:space="preserve"> </w:t>
            </w:r>
          </w:p>
        </w:tc>
      </w:tr>
      <w:tr>
        <w:trPr>
          <w:cantSplit/>
        </w:trPr>
        <w:tc>
          <w:tcPr>
            <w:tcW w:type="dxa" w:w="1200"/>
            <w:shd w:fill="F2F2F2" w:color="auto" w:val="clear"/>
            <w:tcMar>
              <w:top w:type="dxa" w:w="90"/>
              <w:left w:type="dxa" w:w="120"/>
              <w:bottom w:type="dxa" w:w="90"/>
              <w:right w:type="dxa" w:w="120"/>
            </w:tcMar>
          </w:tcPr>
          <w:p>
            <w:r>
              <w:rPr>
                <w:color w:val="767171"/>
                <w:sz w:val="19"/>
                <w:szCs w:val="19"/>
              </w:rPr>
              <w:t xml:space="preserve"> </w:t>
            </w:r>
          </w:p>
        </w:tc>
        <w:tc>
          <w:tcPr>
            <w:tcW w:type="dxa" w:w="1000"/>
            <w:shd w:fill="F2F2F2" w:color="auto" w:val="clear"/>
            <w:tcMar>
              <w:top w:type="dxa" w:w="90"/>
              <w:left w:type="dxa" w:w="120"/>
              <w:bottom w:type="dxa" w:w="90"/>
              <w:right w:type="dxa" w:w="120"/>
            </w:tcMar>
          </w:tcPr>
          <w:p>
            <w:r>
              <w:rPr>
                <w:color w:val="767171"/>
                <w:sz w:val="19"/>
                <w:szCs w:val="19"/>
              </w:rPr>
              <w:t xml:space="preserve"> </w:t>
            </w:r>
          </w:p>
        </w:tc>
        <w:tc>
          <w:tcPr>
            <w:tcW w:type="dxa" w:w="1500"/>
            <w:shd w:fill="F2F2F2" w:color="auto" w:val="clear"/>
            <w:tcMar>
              <w:top w:type="dxa" w:w="90"/>
              <w:left w:type="dxa" w:w="120"/>
              <w:bottom w:type="dxa" w:w="90"/>
              <w:right w:type="dxa" w:w="120"/>
            </w:tcMar>
          </w:tcPr>
          <w:p>
            <w:r>
              <w:rPr>
                <w:color w:val="767171"/>
                <w:sz w:val="19"/>
                <w:szCs w:val="19"/>
              </w:rPr>
              <w:t xml:space="preserve"> </w:t>
            </w:r>
          </w:p>
        </w:tc>
        <w:tc>
          <w:tcPr>
            <w:tcW w:type="dxa" w:w="1900"/>
            <w:shd w:fill="F2F2F2" w:color="auto" w:val="clear"/>
            <w:tcMar>
              <w:top w:type="dxa" w:w="90"/>
              <w:left w:type="dxa" w:w="120"/>
              <w:bottom w:type="dxa" w:w="90"/>
              <w:right w:type="dxa" w:w="120"/>
            </w:tcMar>
          </w:tcPr>
          <w:p>
            <w:r>
              <w:rPr>
                <w:color w:val="767171"/>
                <w:sz w:val="19"/>
                <w:szCs w:val="19"/>
              </w:rPr>
              <w:t xml:space="preserve"> </w:t>
            </w:r>
          </w:p>
        </w:tc>
        <w:tc>
          <w:tcPr>
            <w:tcW w:type="dxa" w:w="1880"/>
            <w:shd w:fill="F2F2F2" w:color="auto" w:val="clear"/>
            <w:tcMar>
              <w:top w:type="dxa" w:w="90"/>
              <w:left w:type="dxa" w:w="120"/>
              <w:bottom w:type="dxa" w:w="90"/>
              <w:right w:type="dxa" w:w="120"/>
            </w:tcMar>
          </w:tcPr>
          <w:p>
            <w:r>
              <w:rPr>
                <w:color w:val="767171"/>
                <w:sz w:val="19"/>
                <w:szCs w:val="19"/>
              </w:rPr>
              <w:t xml:space="preserve"> </w:t>
            </w:r>
          </w:p>
        </w:tc>
        <w:tc>
          <w:tcPr>
            <w:tcW w:type="dxa" w:w="188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4. Sensitivity — the baseline and at least three more runs (km² of Snowbird).</w:t>
      </w:r>
    </w:p>
    <w:p>
      <w:pPr>
        <w:pStyle w:val="Heading2"/>
        <w:spacing w:after="60" w:before="220"/>
      </w:pPr>
      <w:r>
        <w:rPr>
          <w:b/>
          <w:bCs/>
          <w:color w:val="1F3864"/>
          <w:sz w:val="22"/>
          <w:szCs w:val="22"/>
        </w:rPr>
        <w:t xml:space="preserve">How much does moving the elevation bands change the map, in each direction? Use the altitude-class column to say why.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How much does the combination rule change the map? For the same run, compare the three rules. Which would you publish, and to whom?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Where do the three rules agree, and where do they disagree most? Map Rule_Spread at shift 0 beside the imagery and say what terrain sits at 0 and at 4. (2 points)</w:t>
      </w:r>
    </w:p>
    <w:p>
      <w:pPr>
        <w:spacing w:after="260" w:before="0"/>
      </w:pPr>
      <w:r>
        <w:rPr>
          <w:i/>
          <w:iCs/>
          <w:color w:val="767171"/>
          <w:highlight w:val="yellow"/>
        </w:rPr>
        <w:t xml:space="preserve">[Your answer here.]</w:t>
      </w:r>
    </w:p>
    <w:p>
      <w:pPr>
        <w:pStyle w:val="Heading1"/>
        <w:spacing w:after="80" w:before="280"/>
      </w:pPr>
      <w:r>
        <w:rPr>
          <w:b/>
          <w:bCs/>
          <w:color w:val="1F3864"/>
          <w:sz w:val="28"/>
          <w:szCs w:val="28"/>
        </w:rPr>
        <w:t xml:space="preserve">7.  Where the Map Is Wrong</w:t>
      </w:r>
    </w:p>
    <w:p>
      <w:pPr>
        <w:spacing w:after="160" w:before="60"/>
      </w:pPr>
      <w:r>
        <w:rPr>
          <w:i/>
          <w:iCs/>
          <w:color w:val="767171"/>
          <w:sz w:val="19"/>
          <w:szCs w:val="19"/>
        </w:rPr>
        <w:t xml:space="preserve">Rubric: where the map is wrong and why, and what data would fix it (2 points). What the terrain-only model leaves out (snowpack, weather, wind loading, triggering, slope shape, ground cover, terrain traps), what a bare-earth 10 m DEM cannot show, and what Table 1 assumes — name each and the data that would fix it.</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8.  Maps</w:t>
      </w:r>
    </w:p>
    <w:p>
      <w:pPr>
        <w:spacing w:after="160" w:before="60"/>
      </w:pPr>
      <w:r>
        <w:rPr>
          <w:i/>
          <w:iCs/>
          <w:color w:val="767171"/>
          <w:sz w:val="19"/>
          <w:szCs w:val="19"/>
        </w:rPr>
        <w:t xml:space="preserve">Both maps are full-page, 8.5 × 11. Put each on its own page. Use the danger-scale colors on both, so a reader can compare them.</w:t>
      </w:r>
    </w:p>
    <w:p>
      <w:pPr>
        <w:spacing w:after="160" w:before="60"/>
      </w:pPr>
      <w:r>
        <w:rPr>
          <w:i/>
          <w:iCs/>
          <w:color w:val="767171"/>
          <w:sz w:val="19"/>
          <w:szCs w:val="19"/>
        </w:rPr>
        <w:t xml:space="preserve">Must carry: title stating the rule and the elevation bands; neat line, north arrow and scale bar; a text box with author, date, map projection, and the DEM’s source and date; the hazard classes in the danger-scale colors, labeled Low to Extreme in a legend; the Snowbird boundary and labeled places; an inset locating Little Cottonwood Canyon; basemap, scale and legibility appropriate to the ski area.</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1. Baseline — the geometric mean at shift 0.</w:t>
      </w:r>
    </w:p>
    <w:p>
      <w:r>
        <w:br w:type="page"/>
      </w:r>
    </w:p>
    <w:p>
      <w:pPr>
        <w:spacing w:after="160" w:before="60"/>
      </w:pPr>
      <w:r>
        <w:rPr>
          <w:i/>
          <w:iCs/>
          <w:color w:val="767171"/>
          <w:sz w:val="19"/>
          <w:szCs w:val="19"/>
        </w:rPr>
        <w:t xml:space="preserve">Everything Map 1 needs except the inset, plus: the title and text box say what changed from Map 1 and why this run was chosen.</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2. Scenario — a different shift or rule from Step 9.</w:t>
      </w:r>
    </w:p>
    <w:p>
      <w:r>
        <w:br w:type="page"/>
      </w:r>
    </w:p>
    <w:p>
      <w:pPr>
        <w:pStyle w:val="Heading1"/>
        <w:spacing w:after="80" w:before="280"/>
      </w:pPr>
      <w:r>
        <w:rPr>
          <w:b/>
          <w:bCs/>
          <w:color w:val="1F3864"/>
          <w:sz w:val="28"/>
          <w:szCs w:val="28"/>
        </w:rPr>
        <w:t xml:space="preserve">9.  References</w:t>
      </w:r>
    </w:p>
    <w:p>
      <w:pPr>
        <w:spacing w:after="160" w:before="60"/>
      </w:pPr>
      <w:r>
        <w:rPr>
          <w:i/>
          <w:iCs/>
          <w:color w:val="767171"/>
          <w:sz w:val="19"/>
          <w:szCs w:val="19"/>
        </w:rPr>
        <w:t xml:space="preserve">Rubric: sources credited (part of the point for organized writing). Credit the DEM, the ski-area layer, the advisory behind Table 1, the basemap and anything else you relied on.</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10.  AI Use Statement</w:t>
      </w:r>
    </w:p>
    <w:p>
      <w:pPr>
        <w:spacing w:after="160" w:before="60"/>
      </w:pPr>
      <w:r>
        <w:rPr>
          <w:i/>
          <w:iCs/>
          <w:color w:val="767171"/>
          <w:sz w:val="19"/>
          <w:szCs w:val="19"/>
        </w:rPr>
        <w:t xml:space="preserve">Course policy: one line saying what you used AI for. If you used none, say that. Expressions, class breaks, coordinate systems and areas come from your own work, never from a model. You do the work in ArcGIS Pro yourself: AI may not run it for you, put facts in your report you did not find, or redraw or “enhance” your figures (see the course AI policy).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11.  Self-Graded Rubric</w:t>
      </w:r>
    </w:p>
    <w:p>
      <w:pPr>
        <w:spacing w:after="160" w:before="60"/>
      </w:pPr>
      <w:r>
        <w:rPr>
          <w:i/>
          <w:iCs/>
          <w:color w:val="767171"/>
          <w:sz w:val="19"/>
          <w:szCs w:val="19"/>
        </w:rPr>
        <w:t xml:space="preserve">Rubric: this rubric pasted in with your self-assessment in every row (part of the point for organized writing). Put a score in every row, honestly arrived at. The grader compares yours with theirs.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1260"/>
      </w:tblGrid>
      <w:tr>
        <w:trPr>
          <w:cantSplit/>
          <w:tblHeader/>
        </w:trPr>
        <w:tc>
          <w:tcPr>
            <w:tcW w:type="dxa" w:w="7200"/>
            <w:shd w:fill="D9E2F3" w:color="auto" w:val="clear"/>
            <w:tcMar>
              <w:top w:type="dxa" w:w="90"/>
              <w:left w:type="dxa" w:w="120"/>
              <w:bottom w:type="dxa" w:w="90"/>
              <w:right w:type="dxa" w:w="120"/>
            </w:tcMar>
          </w:tcPr>
          <w:p>
            <w:r>
              <w:rPr>
                <w:b/>
                <w:bCs/>
                <w:color w:val="1F3864"/>
                <w:sz w:val="19"/>
                <w:szCs w:val="19"/>
              </w:rPr>
              <w:t xml:space="preserve">Item</w:t>
            </w:r>
          </w:p>
        </w:tc>
        <w:tc>
          <w:tcPr>
            <w:tcW w:type="dxa" w:w="900"/>
            <w:shd w:fill="D9E2F3" w:color="auto" w:val="clear"/>
            <w:tcMar>
              <w:top w:type="dxa" w:w="90"/>
              <w:left w:type="dxa" w:w="120"/>
              <w:bottom w:type="dxa" w:w="90"/>
              <w:right w:type="dxa" w:w="120"/>
            </w:tcMar>
          </w:tcPr>
          <w:p>
            <w:r>
              <w:rPr>
                <w:b/>
                <w:bCs/>
                <w:color w:val="1F3864"/>
                <w:sz w:val="19"/>
                <w:szCs w:val="19"/>
              </w:rPr>
              <w:t xml:space="preserve">Max</w:t>
            </w:r>
          </w:p>
        </w:tc>
        <w:tc>
          <w:tcPr>
            <w:tcW w:type="dxa" w:w="1260"/>
            <w:shd w:fill="D9E2F3" w:color="auto" w:val="clear"/>
            <w:tcMar>
              <w:top w:type="dxa" w:w="90"/>
              <w:left w:type="dxa" w:w="120"/>
              <w:bottom w:type="dxa" w:w="90"/>
              <w:right w:type="dxa" w:w="120"/>
            </w:tcMar>
          </w:tcPr>
          <w:p>
            <w:r>
              <w:rPr>
                <w:b/>
                <w:bCs/>
                <w:color w:val="1F3864"/>
                <w:sz w:val="19"/>
                <w:szCs w:val="19"/>
              </w:rPr>
              <w:t xml:space="preserve">Your score</w:t>
            </w:r>
          </w:p>
        </w:tc>
      </w:tr>
      <w:tr>
        <w:trPr>
          <w:cantSplit/>
        </w:trPr>
        <w:tc>
          <w:tcPr>
            <w:tcW w:type="dxa" w:w="7200"/>
            <w:tcMar>
              <w:top w:type="dxa" w:w="90"/>
              <w:left w:type="dxa" w:w="120"/>
              <w:bottom w:type="dxa" w:w="90"/>
              <w:right w:type="dxa" w:w="120"/>
            </w:tcMar>
          </w:tcPr>
          <w:p>
            <w:pPr>
              <w:spacing w:after="60"/>
            </w:pPr>
            <w:r>
              <w:rPr>
                <w:b/>
                <w:bCs/>
                <w:sz w:val="19"/>
                <w:szCs w:val="19"/>
              </w:rPr>
              <w:t xml:space="preserve">Write-up (2–3 pages)</w:t>
            </w:r>
          </w:p>
          <w:p>
            <w:pPr>
              <w:pStyle w:val="ListParagraph"/>
              <w:numPr>
                <w:ilvl w:val="0"/>
                <w:numId w:val="3"/>
              </w:numPr>
              <w:spacing w:after="40"/>
            </w:pPr>
            <w:r>
              <w:rPr>
                <w:sz w:val="17"/>
                <w:szCs w:val="17"/>
              </w:rPr>
              <w:t xml:space="preserve">Assignment title, your name, date and course; your peer reviewer named, with a sentence on what you changed because of them (1)</w:t>
            </w:r>
          </w:p>
          <w:p>
            <w:pPr>
              <w:pStyle w:val="ListParagraph"/>
              <w:numPr>
                <w:ilvl w:val="0"/>
                <w:numId w:val="3"/>
              </w:numPr>
              <w:spacing w:after="40"/>
            </w:pPr>
            <w:r>
              <w:rPr>
                <w:sz w:val="17"/>
                <w:szCs w:val="17"/>
              </w:rPr>
              <w:t xml:space="preserve">The requirements of the project and your approach to solving it, in your own words (2)</w:t>
            </w:r>
          </w:p>
          <w:p>
            <w:pPr>
              <w:pStyle w:val="ListParagraph"/>
              <w:numPr>
                <w:ilvl w:val="0"/>
                <w:numId w:val="3"/>
              </w:numPr>
              <w:spacing w:after="40"/>
            </w:pPr>
            <w:r>
              <w:rPr>
                <w:sz w:val="17"/>
                <w:szCs w:val="17"/>
              </w:rPr>
              <w:t xml:space="preserve">The three metadata values for the DEM and what each means for your result (2)</w:t>
            </w:r>
          </w:p>
          <w:p>
            <w:pPr>
              <w:pStyle w:val="ListParagraph"/>
              <w:numPr>
                <w:ilvl w:val="0"/>
                <w:numId w:val="3"/>
              </w:numPr>
              <w:spacing w:after="40"/>
            </w:pPr>
            <w:r>
              <w:rPr>
                <w:sz w:val="17"/>
                <w:szCs w:val="17"/>
              </w:rPr>
              <w:t xml:space="preserve">The "all three agree" result and why it is the wrong answer (2)</w:t>
            </w:r>
          </w:p>
          <w:p>
            <w:pPr>
              <w:pStyle w:val="ListParagraph"/>
              <w:numPr>
                <w:ilvl w:val="0"/>
                <w:numId w:val="3"/>
              </w:numPr>
              <w:spacing w:after="40"/>
            </w:pPr>
            <w:r>
              <w:rPr>
                <w:sz w:val="17"/>
                <w:szCs w:val="17"/>
              </w:rPr>
              <w:t xml:space="preserve">Where the map is wrong and why, and what data would fix it (2)</w:t>
            </w:r>
          </w:p>
          <w:p>
            <w:pPr>
              <w:pStyle w:val="ListParagraph"/>
              <w:numPr>
                <w:ilvl w:val="0"/>
                <w:numId w:val="3"/>
              </w:numPr>
              <w:spacing w:after="40"/>
            </w:pPr>
            <w:r>
              <w:rPr>
                <w:sz w:val="17"/>
                <w:szCs w:val="17"/>
              </w:rPr>
              <w:t xml:space="preserve">Organized writing, figures numbered and referred to, sources credited, rubric pasted with your self-assessment (1)</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ModelBuilder model — correct and working</w:t>
            </w:r>
          </w:p>
          <w:p>
            <w:pPr>
              <w:pStyle w:val="ListParagraph"/>
              <w:numPr>
                <w:ilvl w:val="0"/>
                <w:numId w:val="3"/>
              </w:numPr>
              <w:spacing w:after="40"/>
            </w:pPr>
            <w:r>
              <w:rPr>
                <w:sz w:val="17"/>
                <w:szCs w:val="17"/>
              </w:rPr>
              <w:t xml:space="preserve">The model runs end to end from its tool dialog and its Step 8 table of Snowbird's areas at shift 0 matches the check values (4)</w:t>
            </w:r>
          </w:p>
          <w:p>
            <w:pPr>
              <w:pStyle w:val="ListParagraph"/>
              <w:numPr>
                <w:ilvl w:val="0"/>
                <w:numId w:val="3"/>
              </w:numPr>
              <w:spacing w:after="40"/>
            </w:pPr>
            <w:r>
              <w:rPr>
                <w:sz w:val="17"/>
                <w:szCs w:val="17"/>
              </w:rPr>
              <w:t xml:space="preserve">A full-page model figure exported from ModelBuilder, all tools and datasets readable (2)</w:t>
            </w:r>
          </w:p>
          <w:p>
            <w:pPr>
              <w:pStyle w:val="ListParagraph"/>
              <w:numPr>
                <w:ilvl w:val="0"/>
                <w:numId w:val="3"/>
              </w:numPr>
              <w:spacing w:after="40"/>
            </w:pPr>
            <w:r>
              <w:rPr>
                <w:sz w:val="17"/>
                <w:szCs w:val="17"/>
              </w:rPr>
              <w:t xml:space="preserve">A screen capture of the toolbox interface with the shift parameter exposed (2)</w:t>
            </w:r>
          </w:p>
          <w:p>
            <w:pPr>
              <w:pStyle w:val="ListParagraph"/>
              <w:numPr>
                <w:ilvl w:val="0"/>
                <w:numId w:val="3"/>
              </w:numPr>
              <w:spacing w:after="40"/>
            </w:pPr>
            <w:r>
              <w:rPr>
                <w:sz w:val="17"/>
                <w:szCs w:val="17"/>
              </w:rPr>
              <w:t xml:space="preserve">A description of the model a reader could repeat from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1 — your baseline (full page, 8.5 × 11)</w:t>
            </w:r>
          </w:p>
          <w:p>
            <w:pPr>
              <w:pStyle w:val="ListParagraph"/>
              <w:numPr>
                <w:ilvl w:val="0"/>
                <w:numId w:val="3"/>
              </w:numPr>
              <w:spacing w:after="40"/>
            </w:pPr>
            <w:r>
              <w:rPr>
                <w:sz w:val="17"/>
                <w:szCs w:val="17"/>
              </w:rPr>
              <w:t xml:space="preserve">Title stating the rule and the elevation bands (1)</w:t>
            </w:r>
          </w:p>
          <w:p>
            <w:pPr>
              <w:pStyle w:val="ListParagraph"/>
              <w:numPr>
                <w:ilvl w:val="0"/>
                <w:numId w:val="3"/>
              </w:numPr>
              <w:spacing w:after="40"/>
            </w:pPr>
            <w:r>
              <w:rPr>
                <w:sz w:val="17"/>
                <w:szCs w:val="17"/>
              </w:rPr>
              <w:t xml:space="preserve">Neat line, north arrow and scale bar (1)</w:t>
            </w:r>
          </w:p>
          <w:p>
            <w:pPr>
              <w:pStyle w:val="ListParagraph"/>
              <w:numPr>
                <w:ilvl w:val="0"/>
                <w:numId w:val="3"/>
              </w:numPr>
              <w:spacing w:after="40"/>
            </w:pPr>
            <w:r>
              <w:rPr>
                <w:sz w:val="17"/>
                <w:szCs w:val="17"/>
              </w:rPr>
              <w:t xml:space="preserve">Text box with author, date, map projection, and the DEM's source and date (1)</w:t>
            </w:r>
          </w:p>
          <w:p>
            <w:pPr>
              <w:pStyle w:val="ListParagraph"/>
              <w:numPr>
                <w:ilvl w:val="0"/>
                <w:numId w:val="3"/>
              </w:numPr>
              <w:spacing w:after="40"/>
            </w:pPr>
            <w:r>
              <w:rPr>
                <w:sz w:val="17"/>
                <w:szCs w:val="17"/>
              </w:rPr>
              <w:t xml:space="preserve">The hazard classes in the danger-scale colors, labeled Low to Extreme in a legend (2)</w:t>
            </w:r>
          </w:p>
          <w:p>
            <w:pPr>
              <w:pStyle w:val="ListParagraph"/>
              <w:numPr>
                <w:ilvl w:val="0"/>
                <w:numId w:val="3"/>
              </w:numPr>
              <w:spacing w:after="40"/>
            </w:pPr>
            <w:r>
              <w:rPr>
                <w:sz w:val="17"/>
                <w:szCs w:val="17"/>
              </w:rPr>
              <w:t xml:space="preserve">The Snowbird boundary and labeled places (1)</w:t>
            </w:r>
          </w:p>
          <w:p>
            <w:pPr>
              <w:pStyle w:val="ListParagraph"/>
              <w:numPr>
                <w:ilvl w:val="0"/>
                <w:numId w:val="3"/>
              </w:numPr>
              <w:spacing w:after="40"/>
            </w:pPr>
            <w:r>
              <w:rPr>
                <w:sz w:val="17"/>
                <w:szCs w:val="17"/>
              </w:rPr>
              <w:t xml:space="preserve">An inset locating Little Cottonwood Canyon (2)</w:t>
            </w:r>
          </w:p>
          <w:p>
            <w:pPr>
              <w:pStyle w:val="ListParagraph"/>
              <w:numPr>
                <w:ilvl w:val="0"/>
                <w:numId w:val="3"/>
              </w:numPr>
              <w:spacing w:after="40"/>
            </w:pPr>
            <w:r>
              <w:rPr>
                <w:sz w:val="17"/>
                <w:szCs w:val="17"/>
              </w:rPr>
              <w:t xml:space="preserve">Basemap, scale and legibility appropriate to the ski area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2 — one Step 9 scenario (full page, 8.5 × 11)</w:t>
            </w:r>
          </w:p>
          <w:p>
            <w:pPr>
              <w:pStyle w:val="ListParagraph"/>
              <w:numPr>
                <w:ilvl w:val="0"/>
                <w:numId w:val="3"/>
              </w:numPr>
              <w:spacing w:after="40"/>
            </w:pPr>
            <w:r>
              <w:rPr>
                <w:sz w:val="17"/>
                <w:szCs w:val="17"/>
              </w:rPr>
              <w:t xml:space="preserve">Title stating the rule and the elevation bands (1)</w:t>
            </w:r>
          </w:p>
          <w:p>
            <w:pPr>
              <w:pStyle w:val="ListParagraph"/>
              <w:numPr>
                <w:ilvl w:val="0"/>
                <w:numId w:val="3"/>
              </w:numPr>
              <w:spacing w:after="40"/>
            </w:pPr>
            <w:r>
              <w:rPr>
                <w:sz w:val="17"/>
                <w:szCs w:val="17"/>
              </w:rPr>
              <w:t xml:space="preserve">Neat line, north arrow and scale bar (1)</w:t>
            </w:r>
          </w:p>
          <w:p>
            <w:pPr>
              <w:pStyle w:val="ListParagraph"/>
              <w:numPr>
                <w:ilvl w:val="0"/>
                <w:numId w:val="3"/>
              </w:numPr>
              <w:spacing w:after="40"/>
            </w:pPr>
            <w:r>
              <w:rPr>
                <w:sz w:val="17"/>
                <w:szCs w:val="17"/>
              </w:rPr>
              <w:t xml:space="preserve">Text box with author, date, map projection, and the DEM's source and date (1)</w:t>
            </w:r>
          </w:p>
          <w:p>
            <w:pPr>
              <w:pStyle w:val="ListParagraph"/>
              <w:numPr>
                <w:ilvl w:val="0"/>
                <w:numId w:val="3"/>
              </w:numPr>
              <w:spacing w:after="40"/>
            </w:pPr>
            <w:r>
              <w:rPr>
                <w:sz w:val="17"/>
                <w:szCs w:val="17"/>
              </w:rPr>
              <w:t xml:space="preserve">The hazard classes in the danger-scale colors, labeled Low to Extreme in a legend (2)</w:t>
            </w:r>
          </w:p>
          <w:p>
            <w:pPr>
              <w:pStyle w:val="ListParagraph"/>
              <w:numPr>
                <w:ilvl w:val="0"/>
                <w:numId w:val="3"/>
              </w:numPr>
              <w:spacing w:after="40"/>
            </w:pPr>
            <w:r>
              <w:rPr>
                <w:sz w:val="17"/>
                <w:szCs w:val="17"/>
              </w:rPr>
              <w:t xml:space="preserve">The Snowbird boundary and labeled places (1)</w:t>
            </w:r>
          </w:p>
          <w:p>
            <w:pPr>
              <w:pStyle w:val="ListParagraph"/>
              <w:numPr>
                <w:ilvl w:val="0"/>
                <w:numId w:val="3"/>
              </w:numPr>
              <w:spacing w:after="40"/>
            </w:pPr>
            <w:r>
              <w:rPr>
                <w:sz w:val="17"/>
                <w:szCs w:val="17"/>
              </w:rPr>
              <w:t xml:space="preserve">Title and text box say what changed from Map 1 and why this run was chosen (2)</w:t>
            </w:r>
          </w:p>
          <w:p>
            <w:pPr>
              <w:pStyle w:val="ListParagraph"/>
              <w:numPr>
                <w:ilvl w:val="0"/>
                <w:numId w:val="3"/>
              </w:numPr>
              <w:spacing w:after="40"/>
            </w:pPr>
            <w:r>
              <w:rPr>
                <w:sz w:val="17"/>
                <w:szCs w:val="17"/>
              </w:rPr>
              <w:t xml:space="preserve">Basemap, scale and legibility appropriate to the ski area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Sensitivity (Step 9)</w:t>
            </w:r>
          </w:p>
          <w:p>
            <w:pPr>
              <w:pStyle w:val="ListParagraph"/>
              <w:numPr>
                <w:ilvl w:val="0"/>
                <w:numId w:val="3"/>
              </w:numPr>
              <w:spacing w:after="40"/>
            </w:pPr>
            <w:r>
              <w:rPr>
                <w:sz w:val="17"/>
                <w:szCs w:val="17"/>
              </w:rPr>
              <w:t xml:space="preserve">One table with the baseline and at least three more runs, giving the shift, the altitude-class-5 area, and the High + Extreme area of Snowbird under each of the three rules (4)</w:t>
            </w:r>
          </w:p>
          <w:p>
            <w:pPr>
              <w:pStyle w:val="ListParagraph"/>
              <w:numPr>
                <w:ilvl w:val="0"/>
                <w:numId w:val="3"/>
              </w:numPr>
              <w:spacing w:after="40"/>
            </w:pPr>
            <w:r>
              <w:rPr>
                <w:sz w:val="17"/>
                <w:szCs w:val="17"/>
              </w:rPr>
              <w:t xml:space="preserve">How much moving the elevation bands changes the map in each direction, and why (2)</w:t>
            </w:r>
          </w:p>
          <w:p>
            <w:pPr>
              <w:pStyle w:val="ListParagraph"/>
              <w:numPr>
                <w:ilvl w:val="0"/>
                <w:numId w:val="3"/>
              </w:numPr>
              <w:spacing w:after="40"/>
            </w:pPr>
            <w:r>
              <w:rPr>
                <w:sz w:val="17"/>
                <w:szCs w:val="17"/>
              </w:rPr>
              <w:t xml:space="preserve">How much the combination rule changes the map, and which rule you would publish and why (2)</w:t>
            </w:r>
          </w:p>
          <w:p>
            <w:pPr>
              <w:pStyle w:val="ListParagraph"/>
              <w:numPr>
                <w:ilvl w:val="0"/>
                <w:numId w:val="3"/>
              </w:numPr>
              <w:spacing w:after="40"/>
            </w:pPr>
            <w:r>
              <w:rPr>
                <w:sz w:val="17"/>
                <w:szCs w:val="17"/>
              </w:rPr>
              <w:t xml:space="preserve">Where the rules agree and disagree (Rule_Spread), and what terrain that is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shd w:fill="D9E2F3" w:color="auto" w:val="clear"/>
            <w:tcMar>
              <w:top w:type="dxa" w:w="90"/>
              <w:left w:type="dxa" w:w="120"/>
              <w:bottom w:type="dxa" w:w="90"/>
              <w:right w:type="dxa" w:w="120"/>
            </w:tcMar>
          </w:tcPr>
          <w:p>
            <w:pPr>
              <w:spacing w:after="0"/>
            </w:pPr>
            <w:r>
              <w:rPr>
                <w:b/>
                <w:bCs/>
                <w:sz w:val="19"/>
                <w:szCs w:val="19"/>
              </w:rPr>
              <w:t xml:space="preserve">Total</w:t>
            </w:r>
          </w:p>
        </w:tc>
        <w:tc>
          <w:tcPr>
            <w:tcW w:type="dxa" w:w="900"/>
            <w:shd w:fill="D9E2F3" w:color="auto" w:val="clear"/>
            <w:tcMar>
              <w:top w:type="dxa" w:w="90"/>
              <w:left w:type="dxa" w:w="120"/>
              <w:bottom w:type="dxa" w:w="90"/>
              <w:right w:type="dxa" w:w="120"/>
            </w:tcMar>
          </w:tcPr>
          <w:p>
            <w:pPr>
              <w:jc w:val="center"/>
            </w:pPr>
            <w:r>
              <w:rPr>
                <w:b/>
                <w:bCs/>
                <w:sz w:val="19"/>
                <w:szCs w:val="19"/>
              </w:rPr>
              <w:t xml:space="preserve">50</w:t>
            </w:r>
          </w:p>
        </w:tc>
        <w:tc>
          <w:tcPr>
            <w:tcW w:type="dxa" w:w="1260"/>
            <w:shd w:fill="D9E2F3" w:color="auto" w:val="clear"/>
            <w:tcMar>
              <w:top w:type="dxa" w:w="90"/>
              <w:left w:type="dxa" w:w="120"/>
              <w:bottom w:type="dxa" w:w="90"/>
              <w:right w:type="dxa" w:w="120"/>
            </w:tcMar>
          </w:tcPr>
          <w:p>
            <w:pPr>
              <w:jc w:val="center"/>
            </w:pPr>
            <w:r>
              <w:rPr>
                <w:b/>
                <w:bCs/>
                <w:sz w:val="19"/>
                <w:szCs w:val="19"/>
                <w:highlight w:val="yellow"/>
              </w:rPr>
              <w:t xml:space="preserve">___ / 50</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60"/>
      </w:pPr>
    </w:lvl>
  </w:abstractNum>
  <w:abstractNum w:abstractNumId="3" w15:restartNumberingAfterBreak="0">
    <w:multiLevelType w:val="hybridMultilevel"/>
    <w:lvl w:ilvl="0" w:tentative="1">
      <w:start w:val="1"/>
      <w:numFmt w:val="bullet"/>
      <w:lvlText w:val="☐"/>
      <w:lvlJc w:val="left"/>
      <w:pPr>
        <w:ind w:left="3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280"/>
    </w:pPr>
    <w:rPr>
      <w:rFonts w:ascii="Calibri" w:cs="Calibri" w:eastAsia="Calibri" w:hAnsi="Calibri"/>
      <w:b/>
      <w:bCs/>
      <w:color w:val="1F3864"/>
      <w:sz w:val="28"/>
      <w:szCs w:val="28"/>
    </w:rPr>
  </w:style>
  <w:style w:type="paragraph" w:styleId="Heading2">
    <w:name w:val="Heading 2"/>
    <w:basedOn w:val="Normal"/>
    <w:next w:val="Normal"/>
    <w:qFormat/>
    <w:pPr>
      <w:spacing w:after="60" w:before="220"/>
    </w:pPr>
    <w:rPr>
      <w:rFonts w:ascii="Calibri" w:cs="Calibri" w:eastAsia="Calibri" w:hAnsi="Calibri"/>
      <w:b/>
      <w:bCs/>
      <w:color w:val="1F386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Caption"/>
    <w:basedOn w:val="Normal"/>
    <w:next w:val="Normal"/>
    <w:qFormat/>
    <w:pPr>
      <w:spacing w:after="240" w:before="100"/>
      <w:jc w:val="left"/>
    </w:pPr>
    <w:rPr>
      <w:rFonts w:ascii="Calibri" w:cs="Calibri" w:eastAsia="Calibri" w:hAnsi="Calibri"/>
      <w:b/>
      <w:bCs/>
      <w:color w:val="1F3864"/>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10: Avalanche Hazard report template</dc:title>
  <dc:creator>CE 414 — Engineering Applications of GIS</dc:creator>
  <dc:description>Fillable lab report template. Replace every yellow placeholder and delete the gray instructions.</dc:description>
  <cp:lastModifiedBy>Un-named</cp:lastModifiedBy>
  <cp:revision>1</cp:revision>
  <dcterms:created xsi:type="dcterms:W3CDTF">2026-10-09T06:21:28.653Z</dcterms:created>
  <dcterms:modified xsi:type="dcterms:W3CDTF">2026-10-09T06:21:28.655Z</dcterms:modified>
</cp:coreProperties>
</file>

<file path=docProps/custom.xml><?xml version="1.0" encoding="utf-8"?>
<Properties xmlns="http://schemas.openxmlformats.org/officeDocument/2006/custom-properties" xmlns:vt="http://schemas.openxmlformats.org/officeDocument/2006/docPropsVTypes"/>
</file>